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D62EC">
      <w:pPr>
        <w:pageBreakBefore w:val="0"/>
        <w:kinsoku/>
        <w:wordWrap/>
        <w:overflowPunct/>
        <w:topLinePunct w:val="0"/>
        <w:autoSpaceDE/>
        <w:autoSpaceDN/>
        <w:bidi w:val="0"/>
        <w:adjustRightInd/>
        <w:snapToGrid w:val="0"/>
        <w:spacing w:line="560" w:lineRule="exact"/>
        <w:jc w:val="center"/>
        <w:rPr>
          <w:rFonts w:ascii="华文中宋" w:hAnsi="华文中宋" w:eastAsia="华文中宋" w:cs="宋体"/>
          <w:b/>
          <w:kern w:val="0"/>
          <w:sz w:val="52"/>
          <w:szCs w:val="52"/>
          <w:highlight w:val="none"/>
        </w:rPr>
      </w:pPr>
      <w:bookmarkStart w:id="2" w:name="_GoBack"/>
      <w:bookmarkEnd w:id="2"/>
    </w:p>
    <w:p w14:paraId="50C7C1BA">
      <w:pPr>
        <w:pageBreakBefore w:val="0"/>
        <w:kinsoku/>
        <w:wordWrap/>
        <w:overflowPunct/>
        <w:topLinePunct w:val="0"/>
        <w:autoSpaceDE/>
        <w:autoSpaceDN/>
        <w:bidi w:val="0"/>
        <w:adjustRightInd/>
        <w:snapToGrid w:val="0"/>
        <w:spacing w:line="560" w:lineRule="exact"/>
        <w:jc w:val="center"/>
        <w:rPr>
          <w:rFonts w:ascii="华文中宋" w:hAnsi="华文中宋" w:eastAsia="华文中宋" w:cs="宋体"/>
          <w:b/>
          <w:kern w:val="0"/>
          <w:sz w:val="52"/>
          <w:szCs w:val="52"/>
          <w:highlight w:val="none"/>
        </w:rPr>
      </w:pPr>
    </w:p>
    <w:p w14:paraId="0D73B154">
      <w:pPr>
        <w:pageBreakBefore w:val="0"/>
        <w:kinsoku/>
        <w:wordWrap/>
        <w:overflowPunct/>
        <w:topLinePunct w:val="0"/>
        <w:autoSpaceDE/>
        <w:autoSpaceDN/>
        <w:bidi w:val="0"/>
        <w:adjustRightInd/>
        <w:snapToGrid w:val="0"/>
        <w:spacing w:line="560" w:lineRule="exact"/>
        <w:jc w:val="center"/>
        <w:rPr>
          <w:rFonts w:ascii="华文中宋" w:hAnsi="华文中宋" w:eastAsia="华文中宋" w:cs="宋体"/>
          <w:b/>
          <w:kern w:val="0"/>
          <w:sz w:val="52"/>
          <w:szCs w:val="52"/>
          <w:highlight w:val="none"/>
        </w:rPr>
      </w:pPr>
    </w:p>
    <w:p w14:paraId="40E60490">
      <w:pPr>
        <w:pageBreakBefore w:val="0"/>
        <w:kinsoku/>
        <w:wordWrap/>
        <w:overflowPunct/>
        <w:topLinePunct w:val="0"/>
        <w:autoSpaceDE/>
        <w:autoSpaceDN/>
        <w:bidi w:val="0"/>
        <w:adjustRightInd/>
        <w:snapToGrid w:val="0"/>
        <w:spacing w:line="560" w:lineRule="exact"/>
        <w:jc w:val="center"/>
        <w:rPr>
          <w:rFonts w:ascii="华文中宋" w:hAnsi="华文中宋" w:eastAsia="华文中宋" w:cs="宋体"/>
          <w:b/>
          <w:kern w:val="0"/>
          <w:sz w:val="52"/>
          <w:szCs w:val="52"/>
          <w:highlight w:val="none"/>
        </w:rPr>
      </w:pPr>
    </w:p>
    <w:p w14:paraId="074D8A0B">
      <w:pPr>
        <w:pageBreakBefore w:val="0"/>
        <w:kinsoku/>
        <w:wordWrap/>
        <w:overflowPunct/>
        <w:topLinePunct w:val="0"/>
        <w:autoSpaceDE/>
        <w:autoSpaceDN/>
        <w:bidi w:val="0"/>
        <w:adjustRightInd/>
        <w:snapToGrid w:val="0"/>
        <w:spacing w:line="560" w:lineRule="exact"/>
        <w:jc w:val="center"/>
        <w:rPr>
          <w:rFonts w:ascii="华文中宋" w:hAnsi="华文中宋" w:eastAsia="华文中宋" w:cs="宋体"/>
          <w:b/>
          <w:kern w:val="0"/>
          <w:sz w:val="52"/>
          <w:szCs w:val="52"/>
          <w:highlight w:val="none"/>
        </w:rPr>
      </w:pPr>
    </w:p>
    <w:p w14:paraId="2ED40B47">
      <w:pPr>
        <w:pageBreakBefore w:val="0"/>
        <w:kinsoku/>
        <w:wordWrap/>
        <w:overflowPunct/>
        <w:topLinePunct w:val="0"/>
        <w:autoSpaceDE/>
        <w:autoSpaceDN/>
        <w:bidi w:val="0"/>
        <w:adjustRightInd/>
        <w:snapToGrid w:val="0"/>
        <w:spacing w:line="560" w:lineRule="exact"/>
        <w:jc w:val="center"/>
        <w:rPr>
          <w:rFonts w:ascii="华文中宋" w:hAnsi="华文中宋" w:eastAsia="华文中宋" w:cs="宋体"/>
          <w:b/>
          <w:kern w:val="0"/>
          <w:sz w:val="52"/>
          <w:szCs w:val="52"/>
          <w:highlight w:val="none"/>
        </w:rPr>
      </w:pPr>
    </w:p>
    <w:p w14:paraId="15111419">
      <w:pPr>
        <w:pageBreakBefore w:val="0"/>
        <w:kinsoku/>
        <w:wordWrap/>
        <w:overflowPunct/>
        <w:topLinePunct w:val="0"/>
        <w:autoSpaceDE/>
        <w:autoSpaceDN/>
        <w:bidi w:val="0"/>
        <w:adjustRightInd/>
        <w:snapToGrid w:val="0"/>
        <w:spacing w:line="560" w:lineRule="exact"/>
        <w:jc w:val="center"/>
        <w:rPr>
          <w:rFonts w:ascii="方正小标宋_GBK" w:hAnsi="华文中宋" w:eastAsia="方正小标宋_GBK" w:cs="宋体"/>
          <w:kern w:val="0"/>
          <w:sz w:val="48"/>
          <w:szCs w:val="48"/>
          <w:highlight w:val="none"/>
        </w:rPr>
      </w:pPr>
      <w:r>
        <w:rPr>
          <w:rFonts w:hint="eastAsia" w:ascii="方正小标宋_GBK" w:hAnsi="华文中宋" w:eastAsia="方正小标宋_GBK" w:cs="宋体"/>
          <w:kern w:val="0"/>
          <w:sz w:val="48"/>
          <w:szCs w:val="48"/>
          <w:highlight w:val="none"/>
          <w:lang w:val="en-US" w:eastAsia="zh-CN"/>
        </w:rPr>
        <w:t>塔城地区精神病院建设</w:t>
      </w:r>
      <w:r>
        <w:rPr>
          <w:rFonts w:hint="eastAsia" w:ascii="方正小标宋_GBK" w:hAnsi="华文中宋" w:eastAsia="方正小标宋_GBK" w:cs="宋体"/>
          <w:kern w:val="0"/>
          <w:sz w:val="48"/>
          <w:szCs w:val="48"/>
          <w:highlight w:val="none"/>
        </w:rPr>
        <w:t>项目资金项目支出绩效评价报告</w:t>
      </w:r>
    </w:p>
    <w:p w14:paraId="3CA82495">
      <w:pPr>
        <w:pageBreakBefore w:val="0"/>
        <w:kinsoku/>
        <w:wordWrap/>
        <w:overflowPunct/>
        <w:topLinePunct w:val="0"/>
        <w:autoSpaceDE/>
        <w:autoSpaceDN/>
        <w:bidi w:val="0"/>
        <w:adjustRightInd/>
        <w:snapToGrid w:val="0"/>
        <w:spacing w:line="560" w:lineRule="exact"/>
        <w:jc w:val="center"/>
        <w:rPr>
          <w:rFonts w:ascii="华文中宋" w:hAnsi="华文中宋" w:eastAsia="华文中宋" w:cs="宋体"/>
          <w:b/>
          <w:kern w:val="0"/>
          <w:sz w:val="52"/>
          <w:szCs w:val="52"/>
          <w:highlight w:val="none"/>
        </w:rPr>
      </w:pPr>
    </w:p>
    <w:p w14:paraId="671A5413">
      <w:pPr>
        <w:pageBreakBefore w:val="0"/>
        <w:kinsoku/>
        <w:wordWrap/>
        <w:overflowPunct/>
        <w:topLinePunct w:val="0"/>
        <w:autoSpaceDE/>
        <w:autoSpaceDN/>
        <w:bidi w:val="0"/>
        <w:adjustRightInd/>
        <w:snapToGrid w:val="0"/>
        <w:spacing w:line="560" w:lineRule="exact"/>
        <w:jc w:val="center"/>
        <w:rPr>
          <w:rFonts w:hAnsi="宋体" w:eastAsia="仿宋_GB2312" w:cs="宋体"/>
          <w:kern w:val="0"/>
          <w:sz w:val="36"/>
          <w:szCs w:val="36"/>
          <w:highlight w:val="none"/>
        </w:rPr>
      </w:pPr>
      <w:r>
        <w:rPr>
          <w:rFonts w:hint="eastAsia" w:hAnsi="宋体" w:eastAsia="仿宋_GB2312" w:cs="宋体"/>
          <w:kern w:val="0"/>
          <w:sz w:val="36"/>
          <w:szCs w:val="36"/>
          <w:highlight w:val="none"/>
        </w:rPr>
        <w:t>（ 20</w:t>
      </w:r>
      <w:r>
        <w:rPr>
          <w:rFonts w:hint="eastAsia" w:hAnsi="宋体" w:eastAsia="仿宋_GB2312" w:cs="宋体"/>
          <w:kern w:val="0"/>
          <w:sz w:val="36"/>
          <w:szCs w:val="36"/>
          <w:highlight w:val="none"/>
          <w:lang w:val="en-US" w:eastAsia="zh-CN"/>
        </w:rPr>
        <w:t>20</w:t>
      </w:r>
      <w:r>
        <w:rPr>
          <w:rFonts w:hint="eastAsia" w:hAnsi="宋体" w:eastAsia="仿宋_GB2312" w:cs="宋体"/>
          <w:kern w:val="0"/>
          <w:sz w:val="36"/>
          <w:szCs w:val="36"/>
          <w:highlight w:val="none"/>
        </w:rPr>
        <w:t>年度）</w:t>
      </w:r>
    </w:p>
    <w:p w14:paraId="26D90966">
      <w:pPr>
        <w:pageBreakBefore w:val="0"/>
        <w:kinsoku/>
        <w:wordWrap/>
        <w:overflowPunct/>
        <w:topLinePunct w:val="0"/>
        <w:autoSpaceDE/>
        <w:autoSpaceDN/>
        <w:bidi w:val="0"/>
        <w:adjustRightInd/>
        <w:snapToGrid w:val="0"/>
        <w:spacing w:line="560" w:lineRule="exact"/>
        <w:jc w:val="center"/>
        <w:rPr>
          <w:rFonts w:hAnsi="宋体" w:eastAsia="仿宋_GB2312" w:cs="宋体"/>
          <w:kern w:val="0"/>
          <w:sz w:val="30"/>
          <w:szCs w:val="30"/>
          <w:highlight w:val="none"/>
        </w:rPr>
      </w:pPr>
    </w:p>
    <w:p w14:paraId="1031353B">
      <w:pPr>
        <w:pageBreakBefore w:val="0"/>
        <w:kinsoku/>
        <w:wordWrap/>
        <w:overflowPunct/>
        <w:topLinePunct w:val="0"/>
        <w:autoSpaceDE/>
        <w:autoSpaceDN/>
        <w:bidi w:val="0"/>
        <w:adjustRightInd/>
        <w:snapToGrid w:val="0"/>
        <w:spacing w:line="560" w:lineRule="exact"/>
        <w:jc w:val="center"/>
        <w:rPr>
          <w:rFonts w:hAnsi="宋体" w:eastAsia="仿宋_GB2312" w:cs="宋体"/>
          <w:kern w:val="0"/>
          <w:sz w:val="30"/>
          <w:szCs w:val="30"/>
          <w:highlight w:val="none"/>
        </w:rPr>
      </w:pPr>
    </w:p>
    <w:p w14:paraId="4B83643A">
      <w:pPr>
        <w:pageBreakBefore w:val="0"/>
        <w:kinsoku/>
        <w:wordWrap/>
        <w:overflowPunct/>
        <w:topLinePunct w:val="0"/>
        <w:autoSpaceDE/>
        <w:autoSpaceDN/>
        <w:bidi w:val="0"/>
        <w:adjustRightInd/>
        <w:snapToGrid w:val="0"/>
        <w:spacing w:line="560" w:lineRule="exact"/>
        <w:jc w:val="center"/>
        <w:rPr>
          <w:rFonts w:hAnsi="宋体" w:eastAsia="仿宋_GB2312" w:cs="宋体"/>
          <w:kern w:val="0"/>
          <w:sz w:val="30"/>
          <w:szCs w:val="30"/>
          <w:highlight w:val="none"/>
        </w:rPr>
      </w:pPr>
    </w:p>
    <w:p w14:paraId="01FC28E2">
      <w:pPr>
        <w:pageBreakBefore w:val="0"/>
        <w:kinsoku/>
        <w:wordWrap/>
        <w:overflowPunct/>
        <w:topLinePunct w:val="0"/>
        <w:autoSpaceDE/>
        <w:autoSpaceDN/>
        <w:bidi w:val="0"/>
        <w:adjustRightInd/>
        <w:snapToGrid w:val="0"/>
        <w:spacing w:line="560" w:lineRule="exact"/>
        <w:jc w:val="center"/>
        <w:rPr>
          <w:rFonts w:hAnsi="宋体" w:eastAsia="仿宋_GB2312" w:cs="宋体"/>
          <w:kern w:val="0"/>
          <w:sz w:val="30"/>
          <w:szCs w:val="30"/>
          <w:highlight w:val="none"/>
        </w:rPr>
      </w:pPr>
    </w:p>
    <w:p w14:paraId="4B8AA48F">
      <w:pPr>
        <w:pageBreakBefore w:val="0"/>
        <w:kinsoku/>
        <w:wordWrap/>
        <w:overflowPunct/>
        <w:topLinePunct w:val="0"/>
        <w:autoSpaceDE/>
        <w:autoSpaceDN/>
        <w:bidi w:val="0"/>
        <w:adjustRightInd/>
        <w:snapToGrid w:val="0"/>
        <w:spacing w:line="560" w:lineRule="exact"/>
        <w:rPr>
          <w:rFonts w:hAnsi="宋体" w:eastAsia="仿宋_GB2312" w:cs="宋体"/>
          <w:kern w:val="0"/>
          <w:sz w:val="30"/>
          <w:szCs w:val="30"/>
          <w:highlight w:val="none"/>
        </w:rPr>
      </w:pPr>
    </w:p>
    <w:p w14:paraId="0F960497">
      <w:pPr>
        <w:pageBreakBefore w:val="0"/>
        <w:kinsoku/>
        <w:wordWrap/>
        <w:overflowPunct/>
        <w:topLinePunct w:val="0"/>
        <w:autoSpaceDE/>
        <w:autoSpaceDN/>
        <w:bidi w:val="0"/>
        <w:adjustRightInd/>
        <w:snapToGrid w:val="0"/>
        <w:spacing w:line="560" w:lineRule="exact"/>
        <w:ind w:firstLine="720" w:firstLineChars="200"/>
        <w:jc w:val="left"/>
        <w:rPr>
          <w:rFonts w:hint="eastAsia" w:ascii="仿宋" w:hAnsi="仿宋" w:eastAsia="仿宋" w:cs="仿宋"/>
          <w:b w:val="0"/>
          <w:bCs w:val="0"/>
          <w:sz w:val="32"/>
          <w:szCs w:val="32"/>
          <w:highlight w:val="none"/>
          <w:lang w:val="en-US" w:eastAsia="zh-CN"/>
        </w:rPr>
      </w:pPr>
      <w:r>
        <w:rPr>
          <w:rFonts w:hint="eastAsia" w:hAnsi="宋体" w:eastAsia="仿宋_GB2312" w:cs="宋体"/>
          <w:kern w:val="0"/>
          <w:sz w:val="36"/>
          <w:szCs w:val="36"/>
          <w:highlight w:val="none"/>
        </w:rPr>
        <w:t>项目名称：</w:t>
      </w:r>
      <w:r>
        <w:rPr>
          <w:rFonts w:hint="eastAsia" w:ascii="仿宋" w:hAnsi="仿宋" w:eastAsia="仿宋" w:cs="仿宋"/>
          <w:b w:val="0"/>
          <w:bCs w:val="0"/>
          <w:sz w:val="32"/>
          <w:szCs w:val="32"/>
          <w:highlight w:val="none"/>
          <w:lang w:val="en-US" w:eastAsia="zh-CN"/>
        </w:rPr>
        <w:t>塔城地区精神病院建设项目</w:t>
      </w:r>
    </w:p>
    <w:p w14:paraId="53869419">
      <w:pPr>
        <w:pageBreakBefore w:val="0"/>
        <w:kinsoku/>
        <w:wordWrap/>
        <w:overflowPunct/>
        <w:topLinePunct w:val="0"/>
        <w:autoSpaceDE/>
        <w:autoSpaceDN/>
        <w:bidi w:val="0"/>
        <w:adjustRightInd/>
        <w:snapToGrid w:val="0"/>
        <w:spacing w:line="560" w:lineRule="exact"/>
        <w:ind w:firstLine="720" w:firstLineChars="200"/>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实施单位（公章）：</w:t>
      </w:r>
      <w:r>
        <w:rPr>
          <w:rFonts w:hint="eastAsia" w:ascii="仿宋" w:hAnsi="仿宋" w:eastAsia="仿宋" w:cs="仿宋"/>
          <w:b w:val="0"/>
          <w:bCs w:val="0"/>
          <w:sz w:val="32"/>
          <w:szCs w:val="32"/>
          <w:highlight w:val="none"/>
        </w:rPr>
        <w:t>塔城地区</w:t>
      </w:r>
      <w:r>
        <w:rPr>
          <w:rFonts w:hint="eastAsia" w:ascii="仿宋" w:hAnsi="仿宋" w:eastAsia="仿宋" w:cs="仿宋"/>
          <w:b w:val="0"/>
          <w:bCs w:val="0"/>
          <w:sz w:val="32"/>
          <w:szCs w:val="32"/>
          <w:highlight w:val="none"/>
          <w:lang w:val="en-US" w:eastAsia="zh-CN"/>
        </w:rPr>
        <w:t>民政</w:t>
      </w:r>
      <w:r>
        <w:rPr>
          <w:rFonts w:hint="eastAsia" w:ascii="仿宋" w:hAnsi="仿宋" w:eastAsia="仿宋" w:cs="仿宋"/>
          <w:b w:val="0"/>
          <w:bCs w:val="0"/>
          <w:sz w:val="32"/>
          <w:szCs w:val="32"/>
          <w:highlight w:val="none"/>
        </w:rPr>
        <w:t>局</w:t>
      </w:r>
    </w:p>
    <w:p w14:paraId="4FB0464C">
      <w:pPr>
        <w:pageBreakBefore w:val="0"/>
        <w:kinsoku/>
        <w:wordWrap/>
        <w:overflowPunct/>
        <w:topLinePunct w:val="0"/>
        <w:autoSpaceDE/>
        <w:autoSpaceDN/>
        <w:bidi w:val="0"/>
        <w:adjustRightInd/>
        <w:snapToGrid w:val="0"/>
        <w:spacing w:line="560" w:lineRule="exact"/>
        <w:ind w:firstLine="720" w:firstLineChars="200"/>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主管部门（公章）：</w:t>
      </w:r>
      <w:r>
        <w:rPr>
          <w:rFonts w:hint="eastAsia" w:ascii="仿宋" w:hAnsi="仿宋" w:eastAsia="仿宋" w:cs="仿宋"/>
          <w:b w:val="0"/>
          <w:bCs w:val="0"/>
          <w:sz w:val="32"/>
          <w:szCs w:val="32"/>
          <w:highlight w:val="none"/>
        </w:rPr>
        <w:t>塔城地区</w:t>
      </w:r>
      <w:r>
        <w:rPr>
          <w:rFonts w:hint="eastAsia" w:ascii="仿宋" w:hAnsi="仿宋" w:eastAsia="仿宋" w:cs="仿宋"/>
          <w:b w:val="0"/>
          <w:bCs w:val="0"/>
          <w:sz w:val="32"/>
          <w:szCs w:val="32"/>
          <w:highlight w:val="none"/>
          <w:lang w:val="en-US" w:eastAsia="zh-CN"/>
        </w:rPr>
        <w:t>民政</w:t>
      </w:r>
      <w:r>
        <w:rPr>
          <w:rFonts w:hint="eastAsia" w:ascii="仿宋" w:hAnsi="仿宋" w:eastAsia="仿宋" w:cs="仿宋"/>
          <w:b w:val="0"/>
          <w:bCs w:val="0"/>
          <w:sz w:val="32"/>
          <w:szCs w:val="32"/>
          <w:highlight w:val="none"/>
        </w:rPr>
        <w:t>局</w:t>
      </w:r>
    </w:p>
    <w:p w14:paraId="6C26C105">
      <w:pPr>
        <w:pageBreakBefore w:val="0"/>
        <w:kinsoku/>
        <w:wordWrap/>
        <w:overflowPunct/>
        <w:topLinePunct w:val="0"/>
        <w:autoSpaceDE/>
        <w:autoSpaceDN/>
        <w:bidi w:val="0"/>
        <w:adjustRightInd/>
        <w:snapToGrid w:val="0"/>
        <w:spacing w:line="560" w:lineRule="exact"/>
        <w:ind w:firstLine="720" w:firstLineChars="200"/>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项目负责人（签章）：</w:t>
      </w:r>
      <w:r>
        <w:rPr>
          <w:rFonts w:hint="eastAsia" w:ascii="仿宋" w:hAnsi="仿宋" w:eastAsia="仿宋" w:cs="仿宋"/>
          <w:b w:val="0"/>
          <w:bCs w:val="0"/>
          <w:sz w:val="32"/>
          <w:szCs w:val="32"/>
          <w:highlight w:val="none"/>
          <w:lang w:val="en-US" w:eastAsia="zh-CN"/>
        </w:rPr>
        <w:t>张鸿</w:t>
      </w:r>
    </w:p>
    <w:p w14:paraId="454CEB3D">
      <w:pPr>
        <w:pageBreakBefore w:val="0"/>
        <w:kinsoku/>
        <w:wordWrap/>
        <w:overflowPunct/>
        <w:topLinePunct w:val="0"/>
        <w:autoSpaceDE/>
        <w:autoSpaceDN/>
        <w:bidi w:val="0"/>
        <w:adjustRightInd/>
        <w:snapToGrid w:val="0"/>
        <w:spacing w:line="560" w:lineRule="exact"/>
        <w:ind w:firstLine="720" w:firstLineChars="200"/>
        <w:jc w:val="left"/>
        <w:rPr>
          <w:rFonts w:hAnsi="宋体" w:eastAsia="仿宋_GB2312" w:cs="宋体"/>
          <w:kern w:val="0"/>
          <w:sz w:val="36"/>
          <w:szCs w:val="36"/>
          <w:highlight w:val="none"/>
        </w:rPr>
      </w:pPr>
      <w:r>
        <w:rPr>
          <w:rFonts w:hint="eastAsia" w:hAnsi="宋体" w:eastAsia="仿宋_GB2312" w:cs="宋体"/>
          <w:kern w:val="0"/>
          <w:sz w:val="36"/>
          <w:szCs w:val="36"/>
          <w:highlight w:val="none"/>
        </w:rPr>
        <w:t>填报时间：</w:t>
      </w:r>
      <w:r>
        <w:rPr>
          <w:rFonts w:hint="eastAsia" w:hAnsi="宋体" w:eastAsia="仿宋_GB2312" w:cs="宋体"/>
          <w:kern w:val="0"/>
          <w:sz w:val="36"/>
          <w:szCs w:val="36"/>
          <w:highlight w:val="none"/>
          <w:lang w:val="en-US" w:eastAsia="zh-CN"/>
        </w:rPr>
        <w:t>2021</w:t>
      </w:r>
      <w:r>
        <w:rPr>
          <w:rFonts w:hint="eastAsia" w:hAnsi="宋体" w:eastAsia="仿宋_GB2312" w:cs="宋体"/>
          <w:kern w:val="0"/>
          <w:sz w:val="36"/>
          <w:szCs w:val="36"/>
          <w:highlight w:val="none"/>
        </w:rPr>
        <w:t>年</w:t>
      </w:r>
      <w:r>
        <w:rPr>
          <w:rFonts w:hint="eastAsia" w:hAnsi="宋体" w:eastAsia="仿宋_GB2312" w:cs="宋体"/>
          <w:kern w:val="0"/>
          <w:sz w:val="36"/>
          <w:szCs w:val="36"/>
          <w:highlight w:val="none"/>
          <w:lang w:val="en-US" w:eastAsia="zh-CN"/>
        </w:rPr>
        <w:t>4</w:t>
      </w:r>
      <w:r>
        <w:rPr>
          <w:rFonts w:hint="eastAsia" w:hAnsi="宋体" w:eastAsia="仿宋_GB2312" w:cs="宋体"/>
          <w:kern w:val="0"/>
          <w:sz w:val="36"/>
          <w:szCs w:val="36"/>
          <w:highlight w:val="none"/>
        </w:rPr>
        <w:t>月</w:t>
      </w:r>
      <w:r>
        <w:rPr>
          <w:rFonts w:hint="eastAsia" w:hAnsi="宋体" w:eastAsia="仿宋_GB2312" w:cs="宋体"/>
          <w:kern w:val="0"/>
          <w:sz w:val="36"/>
          <w:szCs w:val="36"/>
          <w:highlight w:val="none"/>
          <w:lang w:val="en-US" w:eastAsia="zh-CN"/>
        </w:rPr>
        <w:t>9</w:t>
      </w:r>
      <w:r>
        <w:rPr>
          <w:rFonts w:hint="eastAsia" w:hAnsi="宋体" w:eastAsia="仿宋_GB2312" w:cs="宋体"/>
          <w:kern w:val="0"/>
          <w:sz w:val="36"/>
          <w:szCs w:val="36"/>
          <w:highlight w:val="none"/>
        </w:rPr>
        <w:t>日</w:t>
      </w:r>
    </w:p>
    <w:p w14:paraId="55BD8818">
      <w:pPr>
        <w:pageBreakBefore w:val="0"/>
        <w:kinsoku/>
        <w:wordWrap/>
        <w:overflowPunct/>
        <w:topLinePunct w:val="0"/>
        <w:autoSpaceDE/>
        <w:autoSpaceDN/>
        <w:bidi w:val="0"/>
        <w:adjustRightInd/>
        <w:snapToGrid w:val="0"/>
        <w:spacing w:line="560" w:lineRule="exact"/>
        <w:jc w:val="center"/>
        <w:rPr>
          <w:rFonts w:hAnsi="宋体" w:eastAsia="仿宋_GB2312" w:cs="宋体"/>
          <w:kern w:val="0"/>
          <w:sz w:val="30"/>
          <w:szCs w:val="30"/>
          <w:highlight w:val="none"/>
        </w:rPr>
      </w:pPr>
    </w:p>
    <w:p w14:paraId="7867142D">
      <w:pPr>
        <w:pageBreakBefore w:val="0"/>
        <w:kinsoku/>
        <w:wordWrap/>
        <w:overflowPunct/>
        <w:topLinePunct w:val="0"/>
        <w:autoSpaceDE/>
        <w:autoSpaceDN/>
        <w:bidi w:val="0"/>
        <w:adjustRightInd/>
        <w:snapToGrid w:val="0"/>
        <w:spacing w:line="560" w:lineRule="exact"/>
        <w:rPr>
          <w:rStyle w:val="24"/>
          <w:rFonts w:ascii="黑体" w:hAnsi="黑体" w:eastAsia="黑体"/>
          <w:b w:val="0"/>
          <w:spacing w:val="-4"/>
          <w:sz w:val="32"/>
          <w:szCs w:val="32"/>
          <w:highlight w:val="none"/>
        </w:rPr>
      </w:pPr>
    </w:p>
    <w:p w14:paraId="70285CF7">
      <w:pPr>
        <w:pageBreakBefore w:val="0"/>
        <w:kinsoku/>
        <w:wordWrap/>
        <w:overflowPunct/>
        <w:topLinePunct w:val="0"/>
        <w:autoSpaceDE/>
        <w:autoSpaceDN/>
        <w:bidi w:val="0"/>
        <w:adjustRightInd/>
        <w:snapToGrid w:val="0"/>
        <w:spacing w:line="560" w:lineRule="exact"/>
        <w:ind w:firstLine="640"/>
        <w:rPr>
          <w:rStyle w:val="24"/>
          <w:rFonts w:ascii="黑体" w:hAnsi="黑体" w:eastAsia="黑体"/>
          <w:b w:val="0"/>
          <w:spacing w:val="-4"/>
          <w:sz w:val="32"/>
          <w:szCs w:val="32"/>
          <w:highlight w:val="none"/>
        </w:rPr>
      </w:pPr>
    </w:p>
    <w:p w14:paraId="17F8F4EE">
      <w:pPr>
        <w:pageBreakBefore w:val="0"/>
        <w:kinsoku/>
        <w:wordWrap/>
        <w:overflowPunct/>
        <w:topLinePunct w:val="0"/>
        <w:autoSpaceDE/>
        <w:autoSpaceDN/>
        <w:bidi w:val="0"/>
        <w:adjustRightInd/>
        <w:snapToGrid w:val="0"/>
        <w:spacing w:line="560" w:lineRule="exact"/>
        <w:rPr>
          <w:rStyle w:val="24"/>
          <w:rFonts w:ascii="黑体" w:hAnsi="黑体" w:eastAsia="黑体"/>
          <w:b w:val="0"/>
          <w:spacing w:val="-4"/>
          <w:sz w:val="32"/>
          <w:szCs w:val="32"/>
          <w:highlight w:val="none"/>
        </w:rPr>
      </w:pPr>
    </w:p>
    <w:p w14:paraId="7A3F08BA">
      <w:pPr>
        <w:pageBreakBefore w:val="0"/>
        <w:kinsoku/>
        <w:wordWrap/>
        <w:overflowPunct/>
        <w:topLinePunct w:val="0"/>
        <w:autoSpaceDE/>
        <w:autoSpaceDN/>
        <w:bidi w:val="0"/>
        <w:adjustRightInd/>
        <w:snapToGrid w:val="0"/>
        <w:spacing w:line="560" w:lineRule="exact"/>
        <w:rPr>
          <w:rFonts w:ascii="黑体" w:hAnsi="黑体" w:eastAsia="黑体" w:cs="黑体"/>
          <w:bCs/>
          <w:sz w:val="32"/>
          <w:szCs w:val="32"/>
          <w:highlight w:val="none"/>
        </w:rPr>
      </w:pPr>
      <w:r>
        <w:rPr>
          <w:rFonts w:hint="eastAsia" w:ascii="黑体" w:hAnsi="黑体" w:eastAsia="黑体" w:cs="黑体"/>
          <w:bCs/>
          <w:sz w:val="32"/>
          <w:szCs w:val="32"/>
          <w:highlight w:val="none"/>
        </w:rPr>
        <w:t>一、基本情况</w:t>
      </w:r>
    </w:p>
    <w:p w14:paraId="676EE264">
      <w:pPr>
        <w:pageBreakBefore w:val="0"/>
        <w:kinsoku/>
        <w:wordWrap/>
        <w:overflowPunct/>
        <w:topLinePunct w:val="0"/>
        <w:autoSpaceDE/>
        <w:autoSpaceDN/>
        <w:bidi w:val="0"/>
        <w:adjustRightInd/>
        <w:snapToGrid w:val="0"/>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（一）项目概况</w:t>
      </w:r>
    </w:p>
    <w:p w14:paraId="2EAE5DAB">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1、项目背景</w:t>
      </w:r>
    </w:p>
    <w:p w14:paraId="6160E542">
      <w:pPr>
        <w:pageBreakBefore w:val="0"/>
        <w:kinsoku/>
        <w:wordWrap/>
        <w:overflowPunct/>
        <w:topLinePunct w:val="0"/>
        <w:autoSpaceDE/>
        <w:autoSpaceDN/>
        <w:bidi w:val="0"/>
        <w:adjustRightInd/>
        <w:snapToGrid w:val="0"/>
        <w:spacing w:line="560" w:lineRule="exact"/>
        <w:ind w:firstLine="320" w:firstLineChars="100"/>
        <w:contextualSpacing/>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（1）项目实施的政策背景</w:t>
      </w:r>
    </w:p>
    <w:p w14:paraId="55D42DB5">
      <w:pPr>
        <w:pageBreakBefore w:val="0"/>
        <w:kinsoku/>
        <w:wordWrap/>
        <w:overflowPunct/>
        <w:topLinePunct w:val="0"/>
        <w:autoSpaceDE/>
        <w:autoSpaceDN/>
        <w:bidi w:val="0"/>
        <w:adjustRightInd/>
        <w:snapToGrid w:val="0"/>
        <w:spacing w:line="560" w:lineRule="exact"/>
        <w:ind w:firstLine="640" w:firstLineChars="200"/>
        <w:contextualSpacing/>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作为精神卫生工作，直接关系到广大人民群众身心健康和社会稳定，重视精神疾病的防治，增加精神卫生服务机构投入，妥善解决特困精神病人的救助，对于社会的稳定和人民群众的生命财产安全有着重要意义，也是实现社会全面进步、安定团结和和谐社会建设的重要内容。根据《全国精神卫生工作体系发展规划纲要》（2008-2015年）精神及目前实际情况，建设具有精神病人福利机构势在必行。</w:t>
      </w:r>
    </w:p>
    <w:p w14:paraId="1BCEB9F3">
      <w:pPr>
        <w:pageBreakBefore w:val="0"/>
        <w:kinsoku/>
        <w:wordWrap/>
        <w:overflowPunct/>
        <w:topLinePunct w:val="0"/>
        <w:autoSpaceDE/>
        <w:autoSpaceDN/>
        <w:bidi w:val="0"/>
        <w:adjustRightInd/>
        <w:snapToGrid w:val="0"/>
        <w:spacing w:line="560" w:lineRule="exact"/>
        <w:ind w:firstLine="640" w:firstLineChars="200"/>
        <w:contextualSpacing/>
        <w:rPr>
          <w:rFonts w:ascii="仿宋_GB2312" w:hAnsi="仿宋_GB2312" w:eastAsia="仿宋_GB2312" w:cs="仿宋_GB2312"/>
          <w:b w:val="0"/>
          <w:bCs w:val="0"/>
          <w:kern w:val="0"/>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）项目实施的历史概况</w:t>
      </w:r>
    </w:p>
    <w:p w14:paraId="193AAD66">
      <w:pPr>
        <w:pageBreakBefore w:val="0"/>
        <w:kinsoku/>
        <w:wordWrap/>
        <w:overflowPunct/>
        <w:topLinePunct w:val="0"/>
        <w:autoSpaceDE/>
        <w:autoSpaceDN/>
        <w:bidi w:val="0"/>
        <w:adjustRightInd/>
        <w:snapToGrid w:val="0"/>
        <w:spacing w:line="560" w:lineRule="exact"/>
        <w:ind w:firstLine="640" w:firstLineChars="200"/>
        <w:contextualSpacing/>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该项目于2016年11月份（平整场地）开工建设，2018年底，主体工程已完工，已通过五方验收，供排水、供电、供暖已全部接入，建成排水沟、消防水池及控制室、换热站、污水处理池等附属设施。同时，积极与地区医院对接，组织多次现场会商讨项目建设及交接事宜。在项目建设上，积极采纳医院意见，进行了挂暖改地暖、加装防爆玻璃等施工方面调整。在项目交接上，2019年6月与地区人民医院签订了精神病人社会福利院管理运营协议书，民政投资建设的精神病人福利机构及其附属设施产权不变，交地区人民医院使用，保留精神病人福利机构牌子；地区人民医院配套设施设备，承担所有运营及维护费用（含附属设施），自主管理，负全部责任。</w:t>
      </w:r>
    </w:p>
    <w:p w14:paraId="4FC70953">
      <w:pPr>
        <w:pageBreakBefore w:val="0"/>
        <w:kinsoku/>
        <w:wordWrap/>
        <w:overflowPunct/>
        <w:topLinePunct w:val="0"/>
        <w:autoSpaceDE/>
        <w:autoSpaceDN/>
        <w:bidi w:val="0"/>
        <w:adjustRightInd/>
        <w:snapToGrid w:val="0"/>
        <w:spacing w:line="560" w:lineRule="exact"/>
        <w:ind w:firstLine="641"/>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rPr>
        <w:t>项目主要内容及实施情况</w:t>
      </w:r>
    </w:p>
    <w:p w14:paraId="2CB7DF64">
      <w:pPr>
        <w:pStyle w:val="2"/>
        <w:pageBreakBefore w:val="0"/>
        <w:kinsoku/>
        <w:wordWrap/>
        <w:overflowPunct/>
        <w:topLinePunct w:val="0"/>
        <w:autoSpaceDE/>
        <w:autoSpaceDN/>
        <w:bidi w:val="0"/>
        <w:adjustRightInd/>
        <w:snapToGrid w:val="0"/>
        <w:spacing w:before="0" w:after="0" w:line="560" w:lineRule="exact"/>
        <w:ind w:firstLine="640" w:firstLineChars="200"/>
        <w:jc w:val="both"/>
        <w:rPr>
          <w:rFonts w:hint="eastAsia" w:ascii="仿宋_GB2312" w:hAnsi="仿宋_GB2312" w:eastAsia="仿宋_GB2312" w:cs="仿宋_GB2312"/>
          <w:b w:val="0"/>
          <w:bCs w:val="0"/>
          <w:kern w:val="2"/>
          <w:highlight w:val="none"/>
          <w:lang w:val="en-US" w:eastAsia="zh-CN"/>
        </w:rPr>
      </w:pPr>
      <w:r>
        <w:rPr>
          <w:rFonts w:hint="eastAsia" w:ascii="仿宋_GB2312" w:hAnsi="仿宋_GB2312" w:eastAsia="仿宋_GB2312" w:cs="仿宋_GB2312"/>
          <w:b w:val="0"/>
          <w:bCs w:val="0"/>
          <w:kern w:val="2"/>
          <w:highlight w:val="none"/>
        </w:rPr>
        <w:t>项目主要内容：</w:t>
      </w:r>
      <w:r>
        <w:rPr>
          <w:rFonts w:hint="eastAsia" w:ascii="仿宋_GB2312" w:hAnsi="仿宋_GB2312" w:eastAsia="仿宋_GB2312" w:cs="仿宋_GB2312"/>
          <w:b w:val="0"/>
          <w:bCs w:val="0"/>
          <w:kern w:val="2"/>
          <w:highlight w:val="none"/>
          <w:lang w:val="en-US" w:eastAsia="zh-CN"/>
        </w:rPr>
        <w:t>该项投资3682万元，其中自治区福利彩票公益金支持3000万元，地区本级福利彩票公益金配套682万元。建筑面积8915平方米，框架地上六层，设计床位300张。</w:t>
      </w:r>
    </w:p>
    <w:p w14:paraId="017DB8E4">
      <w:pPr>
        <w:pStyle w:val="2"/>
        <w:pageBreakBefore w:val="0"/>
        <w:kinsoku/>
        <w:wordWrap/>
        <w:overflowPunct/>
        <w:topLinePunct w:val="0"/>
        <w:autoSpaceDE/>
        <w:autoSpaceDN/>
        <w:bidi w:val="0"/>
        <w:adjustRightInd/>
        <w:snapToGrid w:val="0"/>
        <w:spacing w:before="0" w:after="0" w:line="560" w:lineRule="exact"/>
        <w:ind w:firstLine="640" w:firstLineChars="200"/>
        <w:jc w:val="both"/>
        <w:rPr>
          <w:rFonts w:hint="eastAsia" w:ascii="仿宋_GB2312" w:hAnsi="仿宋_GB2312" w:eastAsia="仿宋_GB2312" w:cs="仿宋_GB2312"/>
          <w:b w:val="0"/>
          <w:bCs w:val="0"/>
          <w:kern w:val="2"/>
          <w:highlight w:val="none"/>
          <w:lang w:val="en-US" w:eastAsia="zh-CN"/>
        </w:rPr>
      </w:pPr>
      <w:r>
        <w:rPr>
          <w:rFonts w:hint="eastAsia" w:ascii="仿宋_GB2312" w:hAnsi="仿宋_GB2312" w:eastAsia="仿宋_GB2312" w:cs="仿宋_GB2312"/>
          <w:b w:val="0"/>
          <w:bCs w:val="0"/>
          <w:kern w:val="2"/>
          <w:highlight w:val="none"/>
        </w:rPr>
        <w:t>项目实施情况：</w:t>
      </w:r>
      <w:r>
        <w:rPr>
          <w:rFonts w:hint="eastAsia" w:ascii="仿宋_GB2312" w:hAnsi="仿宋_GB2312" w:eastAsia="仿宋_GB2312" w:cs="仿宋_GB2312"/>
          <w:b w:val="0"/>
          <w:bCs w:val="0"/>
          <w:kern w:val="2"/>
          <w:highlight w:val="none"/>
          <w:lang w:val="en-US" w:eastAsia="zh-CN"/>
        </w:rPr>
        <w:t>该项目于2016年11月份（平整场地）开工建设，2018年底，主体工程已完工，已通过五方验收，供排水、供电、供暖已全部接入，建成排水沟、消防水池及控制室、换热站、污水处理池等附属设施。同时，积极与地区医院对接，组织多次现场会商讨项目建设及交接事宜。在项目建设上，积极采纳医院意见，进行了挂暖改地暖、加装防爆玻璃等施工方面调整。在项目交接上，2019年6月与地区人民医院签订了精神病人社会福利院管理运营协议书，民政投资建设的精神病人福利机构及其附属设施产权不变，交地区人民医院使用，保留精神病人福利机构牌子；地区人民医院配套设施设备，承担所有运营及维护费用（含附属设施），自主管理，负全部责任。项目目前已经完成实际设立的目标，项目在实施过程中严格按照目标设立的各阶段任务进行开展工作，在前期立项过程中严格把质量关，建立安全防护机制，保证项目实施各阶段安全顺利进行。</w:t>
      </w:r>
    </w:p>
    <w:p w14:paraId="67F77330">
      <w:pPr>
        <w:pageBreakBefore w:val="0"/>
        <w:kinsoku/>
        <w:wordWrap/>
        <w:overflowPunct/>
        <w:topLinePunct w:val="0"/>
        <w:autoSpaceDE/>
        <w:autoSpaceDN/>
        <w:bidi w:val="0"/>
        <w:adjustRightInd/>
        <w:snapToGrid w:val="0"/>
        <w:spacing w:line="560" w:lineRule="exact"/>
        <w:ind w:firstLine="579" w:firstLineChars="18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b w:val="0"/>
          <w:bCs w:val="0"/>
          <w:kern w:val="2"/>
          <w:sz w:val="32"/>
          <w:szCs w:val="32"/>
          <w:highlight w:val="none"/>
          <w:lang w:val="en-US" w:eastAsia="zh-CN" w:bidi="ar-SA"/>
        </w:rPr>
        <w:t>3682万元，其中：财政本级资金682万元。项目实际支出3654万元， 支出率为99.24</w:t>
      </w:r>
      <w:r>
        <w:rPr>
          <w:rFonts w:hint="eastAsia" w:ascii="仿宋_GB2312" w:hAnsi="仿宋_GB2312" w:eastAsia="仿宋_GB2312" w:cs="仿宋_GB2312"/>
          <w:sz w:val="32"/>
          <w:szCs w:val="32"/>
          <w:highlight w:val="none"/>
        </w:rPr>
        <w:t>%。</w:t>
      </w:r>
    </w:p>
    <w:p w14:paraId="1D8226DA">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14:paraId="6E46FEE2">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（1）资金安排</w:t>
      </w:r>
    </w:p>
    <w:p w14:paraId="5BDDC05A">
      <w:pPr>
        <w:pageBreakBefore w:val="0"/>
        <w:kinsoku/>
        <w:wordWrap/>
        <w:overflowPunct/>
        <w:topLinePunct w:val="0"/>
        <w:autoSpaceDE/>
        <w:autoSpaceDN/>
        <w:bidi w:val="0"/>
        <w:adjustRightInd/>
        <w:snapToGrid w:val="0"/>
        <w:spacing w:line="560" w:lineRule="exact"/>
        <w:ind w:firstLine="579" w:firstLineChars="18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3682</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val="en-US" w:eastAsia="zh-CN"/>
        </w:rPr>
        <w:t>新疆维吾尔自治区彩票公益金</w:t>
      </w:r>
      <w:r>
        <w:rPr>
          <w:rFonts w:hint="eastAsia" w:ascii="仿宋_GB2312" w:hAnsi="仿宋_GB2312" w:eastAsia="仿宋_GB2312" w:cs="仿宋_GB2312"/>
          <w:sz w:val="32"/>
          <w:szCs w:val="32"/>
          <w:highlight w:val="none"/>
        </w:rPr>
        <w:t>管理办法》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《关于印发&lt;塔城地区全面实施财政支出绩效管理的工作方案&gt;的通知》（塔财预〔2020〕15号）</w:t>
      </w:r>
      <w:r>
        <w:rPr>
          <w:rFonts w:hint="eastAsia" w:ascii="仿宋_GB2312" w:hAnsi="仿宋_GB2312" w:eastAsia="仿宋_GB2312" w:cs="仿宋_GB2312"/>
          <w:sz w:val="32"/>
          <w:szCs w:val="32"/>
          <w:highlight w:val="none"/>
        </w:rPr>
        <w:t>及单位财务制度等相关规定，资金支出符合</w:t>
      </w:r>
      <w:r>
        <w:rPr>
          <w:rFonts w:hint="eastAsia" w:ascii="仿宋_GB2312" w:hAnsi="仿宋_GB2312" w:eastAsia="仿宋_GB2312" w:cs="仿宋_GB2312"/>
          <w:sz w:val="32"/>
          <w:szCs w:val="32"/>
          <w:highlight w:val="none"/>
          <w:lang w:val="en-US" w:eastAsia="zh-CN"/>
        </w:rPr>
        <w:t>彩票公益金</w:t>
      </w:r>
      <w:r>
        <w:rPr>
          <w:rFonts w:hint="eastAsia" w:ascii="仿宋_GB2312" w:hAnsi="仿宋_GB2312" w:eastAsia="仿宋_GB2312" w:cs="仿宋_GB2312"/>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彩票公益金</w:t>
      </w:r>
      <w:r>
        <w:rPr>
          <w:rFonts w:hint="eastAsia" w:ascii="仿宋_GB2312" w:hAnsi="仿宋_GB2312" w:eastAsia="仿宋_GB2312" w:cs="仿宋_GB2312"/>
          <w:sz w:val="32"/>
          <w:szCs w:val="32"/>
          <w:highlight w:val="none"/>
        </w:rPr>
        <w:t>资金的拨付程序，认真审核项目实施各阶段的相关材料和手续，根据项目实施进展情况拨付资金。</w:t>
      </w:r>
    </w:p>
    <w:p w14:paraId="4FB513B9">
      <w:pPr>
        <w:pageBreakBefore w:val="0"/>
        <w:numPr>
          <w:ilvl w:val="0"/>
          <w:numId w:val="1"/>
        </w:numPr>
        <w:kinsoku/>
        <w:wordWrap/>
        <w:overflowPunct/>
        <w:topLinePunct w:val="0"/>
        <w:autoSpaceDE/>
        <w:autoSpaceDN/>
        <w:bidi w:val="0"/>
        <w:adjustRightInd/>
        <w:snapToGrid w:val="0"/>
        <w:spacing w:line="560" w:lineRule="exact"/>
        <w:ind w:firstLine="64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预算资金来源及使用情况</w:t>
      </w:r>
      <w:bookmarkStart w:id="0" w:name="page10"/>
      <w:bookmarkEnd w:id="0"/>
    </w:p>
    <w:p w14:paraId="685E6B62">
      <w:pPr>
        <w:pageBreakBefore w:val="0"/>
        <w:kinsoku/>
        <w:wordWrap/>
        <w:overflowPunct/>
        <w:topLinePunct w:val="0"/>
        <w:autoSpaceDE/>
        <w:autoSpaceDN/>
        <w:bidi w:val="0"/>
        <w:adjustRightInd/>
        <w:snapToGrid w:val="0"/>
        <w:spacing w:line="560" w:lineRule="exact"/>
        <w:ind w:firstLine="579" w:firstLineChars="181"/>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该项目已完工并交付使用，</w:t>
      </w:r>
      <w:r>
        <w:rPr>
          <w:rFonts w:hint="eastAsia" w:ascii="仿宋_GB2312" w:hAnsi="仿宋_GB2312" w:eastAsia="仿宋_GB2312" w:cs="仿宋_GB2312"/>
          <w:sz w:val="32"/>
          <w:szCs w:val="32"/>
          <w:highlight w:val="none"/>
        </w:rPr>
        <w:t>项目预算资金来源于</w:t>
      </w:r>
      <w:r>
        <w:rPr>
          <w:rFonts w:hint="eastAsia" w:ascii="仿宋_GB2312" w:hAnsi="仿宋_GB2312" w:eastAsia="仿宋_GB2312" w:cs="仿宋_GB2312"/>
          <w:sz w:val="32"/>
          <w:szCs w:val="32"/>
          <w:highlight w:val="none"/>
          <w:lang w:val="en-US" w:eastAsia="zh-CN"/>
        </w:rPr>
        <w:t>自治区福利彩票公益金3000万元和地区本级彩票公益金693万元</w:t>
      </w:r>
      <w:r>
        <w:rPr>
          <w:rFonts w:hint="eastAsia" w:ascii="仿宋_GB2312" w:hAnsi="仿宋_GB2312" w:eastAsia="仿宋_GB2312" w:cs="仿宋_GB2312"/>
          <w:sz w:val="32"/>
          <w:szCs w:val="32"/>
          <w:highlight w:val="none"/>
        </w:rPr>
        <w:t>，项目资金</w:t>
      </w:r>
      <w:r>
        <w:rPr>
          <w:rFonts w:hint="eastAsia" w:ascii="仿宋_GB2312" w:hAnsi="仿宋_GB2312" w:eastAsia="仿宋_GB2312" w:cs="仿宋_GB2312"/>
          <w:sz w:val="32"/>
          <w:szCs w:val="32"/>
          <w:highlight w:val="none"/>
          <w:lang w:val="en-US" w:eastAsia="zh-CN"/>
        </w:rPr>
        <w:t>实际</w:t>
      </w:r>
      <w:r>
        <w:rPr>
          <w:rFonts w:hint="eastAsia" w:ascii="仿宋_GB2312" w:hAnsi="仿宋_GB2312" w:eastAsia="仿宋_GB2312" w:cs="仿宋_GB2312"/>
          <w:sz w:val="32"/>
          <w:szCs w:val="32"/>
          <w:highlight w:val="none"/>
        </w:rPr>
        <w:t>到位</w:t>
      </w:r>
      <w:r>
        <w:rPr>
          <w:rFonts w:hint="eastAsia" w:ascii="仿宋_GB2312" w:hAnsi="仿宋_GB2312" w:eastAsia="仿宋_GB2312" w:cs="仿宋_GB2312"/>
          <w:sz w:val="32"/>
          <w:szCs w:val="32"/>
          <w:highlight w:val="none"/>
          <w:lang w:val="en-US" w:eastAsia="zh-CN"/>
        </w:rPr>
        <w:t>3682万元，其中：自治区福利彩票公益金3000万元（塔地财建［2015］55号）和地区本级福利彩票公益金682万元，其中：489万元（塔地财综［2018］38号）、115万元（塔地财综［2019］29号）、78万元（塔地财综［2020］9），按照签订的合同条款及施工进度已按时支付给乙方。</w:t>
      </w:r>
    </w:p>
    <w:p w14:paraId="24C79E9F">
      <w:pPr>
        <w:pageBreakBefore w:val="0"/>
        <w:kinsoku/>
        <w:wordWrap/>
        <w:overflowPunct/>
        <w:topLinePunct w:val="0"/>
        <w:autoSpaceDE/>
        <w:autoSpaceDN/>
        <w:bidi w:val="0"/>
        <w:adjustRightInd/>
        <w:snapToGrid w:val="0"/>
        <w:spacing w:line="560" w:lineRule="exact"/>
        <w:ind w:firstLine="579" w:firstLineChars="181"/>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2016年支付资金467.86万元，其中：设计费55.8万元、项目前期费用12.06万元、工程款400万元。</w:t>
      </w:r>
    </w:p>
    <w:p w14:paraId="27C32845">
      <w:pPr>
        <w:pageBreakBefore w:val="0"/>
        <w:kinsoku/>
        <w:wordWrap/>
        <w:overflowPunct/>
        <w:topLinePunct w:val="0"/>
        <w:autoSpaceDE/>
        <w:autoSpaceDN/>
        <w:bidi w:val="0"/>
        <w:adjustRightInd/>
        <w:snapToGrid w:val="0"/>
        <w:spacing w:line="560" w:lineRule="exact"/>
        <w:ind w:firstLine="579" w:firstLineChars="181"/>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2017年支付资金1015.14万元，其中：项目前期费用18.35万元、监理费30万元，变压器安装及线路改造费用15.84万元、监控安装费用3.95万元、工程款947万元。</w:t>
      </w:r>
    </w:p>
    <w:p w14:paraId="2370A719">
      <w:pPr>
        <w:pageBreakBefore w:val="0"/>
        <w:kinsoku/>
        <w:wordWrap/>
        <w:overflowPunct/>
        <w:topLinePunct w:val="0"/>
        <w:autoSpaceDE/>
        <w:autoSpaceDN/>
        <w:bidi w:val="0"/>
        <w:adjustRightInd/>
        <w:snapToGrid w:val="0"/>
        <w:spacing w:line="560" w:lineRule="exact"/>
        <w:ind w:firstLine="579" w:firstLineChars="181"/>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2018年支付资金1258.02万元，其中：变压器安装及线路改造费用13.7万元、监理费12.29万元、附属工程款（换热站、上下水）579.69万元、设计费6.2万元、检测费用6.33万元、工程款639.81万元。</w:t>
      </w:r>
    </w:p>
    <w:p w14:paraId="65797644">
      <w:pPr>
        <w:pageBreakBefore w:val="0"/>
        <w:kinsoku/>
        <w:wordWrap/>
        <w:overflowPunct/>
        <w:topLinePunct w:val="0"/>
        <w:autoSpaceDE/>
        <w:autoSpaceDN/>
        <w:bidi w:val="0"/>
        <w:adjustRightInd/>
        <w:snapToGrid w:val="0"/>
        <w:spacing w:line="560" w:lineRule="exact"/>
        <w:ind w:firstLine="579" w:firstLineChars="181"/>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2019年支付资金753.15万元，其中：支付附属工程设计费9万元、附属工程225.72万元、工程款518.43万元。</w:t>
      </w:r>
    </w:p>
    <w:p w14:paraId="4F6A64E1">
      <w:pPr>
        <w:pageBreakBefore w:val="0"/>
        <w:kinsoku/>
        <w:wordWrap/>
        <w:overflowPunct/>
        <w:topLinePunct w:val="0"/>
        <w:autoSpaceDE/>
        <w:autoSpaceDN/>
        <w:bidi w:val="0"/>
        <w:adjustRightInd/>
        <w:snapToGrid w:val="0"/>
        <w:spacing w:line="560" w:lineRule="exact"/>
        <w:ind w:firstLine="579" w:firstLineChars="181"/>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2020年支付159.44万元，其中：工程款113.69万元、附属工程23.16万元、二次加压供水系统设备采购及安装项目15.61万元、地基承载力检测费3.2万元、自来水供水管网铺设2.78万元、工程设计费1万元。截至目前支付率99.24%。</w:t>
      </w:r>
    </w:p>
    <w:p w14:paraId="4CBD1920">
      <w:pPr>
        <w:pageBreakBefore w:val="0"/>
        <w:kinsoku/>
        <w:wordWrap/>
        <w:overflowPunct/>
        <w:topLinePunct w:val="0"/>
        <w:autoSpaceDE/>
        <w:autoSpaceDN/>
        <w:bidi w:val="0"/>
        <w:adjustRightInd/>
        <w:snapToGrid w:val="0"/>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（二）项目绩效目标</w:t>
      </w:r>
    </w:p>
    <w:p w14:paraId="6FCE6710">
      <w:pPr>
        <w:pageBreakBefore w:val="0"/>
        <w:kinsoku/>
        <w:wordWrap/>
        <w:overflowPunct/>
        <w:topLinePunct w:val="0"/>
        <w:autoSpaceDE/>
        <w:autoSpaceDN/>
        <w:bidi w:val="0"/>
        <w:adjustRightInd/>
        <w:snapToGrid w:val="0"/>
        <w:spacing w:line="560" w:lineRule="exact"/>
        <w:ind w:firstLine="641"/>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1、总体目标</w:t>
      </w:r>
    </w:p>
    <w:p w14:paraId="2585E0DC">
      <w:pPr>
        <w:pageBreakBefore w:val="0"/>
        <w:kinsoku/>
        <w:wordWrap/>
        <w:overflowPunct/>
        <w:topLinePunct w:val="0"/>
        <w:autoSpaceDE/>
        <w:autoSpaceDN/>
        <w:bidi w:val="0"/>
        <w:adjustRightInd/>
        <w:snapToGrid w:val="0"/>
        <w:spacing w:line="560" w:lineRule="exact"/>
        <w:ind w:firstLine="641"/>
        <w:rPr>
          <w:rFonts w:hint="default"/>
          <w:highlight w:val="none"/>
          <w:lang w:val="en-US"/>
        </w:rPr>
      </w:pPr>
      <w:r>
        <w:rPr>
          <w:rFonts w:hint="eastAsia" w:ascii="仿宋_GB2312" w:hAnsi="仿宋_GB2312" w:eastAsia="仿宋_GB2312" w:cs="仿宋_GB2312"/>
          <w:sz w:val="32"/>
          <w:szCs w:val="32"/>
          <w:highlight w:val="none"/>
          <w:lang w:val="en-US" w:eastAsia="zh-CN"/>
        </w:rPr>
        <w:t>本项目建设可加快精神卫生医疗卫生事业的发展，推进塔城地区精神卫生事业建设步伐，改善塔城地区精神卫生疾病诊治水平，保证广大人民群众身心健康和社会稳定。</w:t>
      </w:r>
    </w:p>
    <w:p w14:paraId="323451BA">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2、阶段性目标</w:t>
      </w:r>
    </w:p>
    <w:p w14:paraId="65F22E04">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（1）前期准备：根据《</w:t>
      </w:r>
      <w:r>
        <w:rPr>
          <w:rFonts w:hint="eastAsia" w:ascii="仿宋_GB2312" w:hAnsi="仿宋_GB2312" w:eastAsia="仿宋_GB2312" w:cs="仿宋_GB2312"/>
          <w:sz w:val="32"/>
          <w:szCs w:val="32"/>
          <w:highlight w:val="none"/>
          <w:lang w:val="en-US" w:eastAsia="zh-CN"/>
        </w:rPr>
        <w:t>塔城地区精神病人福利机构建设项目可行性研究报告</w:t>
      </w:r>
      <w:r>
        <w:rPr>
          <w:rFonts w:hint="eastAsia" w:ascii="仿宋_GB2312" w:hAnsi="仿宋_GB2312" w:eastAsia="仿宋_GB2312" w:cs="仿宋_GB2312"/>
          <w:sz w:val="32"/>
          <w:szCs w:val="32"/>
          <w:highlight w:val="none"/>
        </w:rPr>
        <w:t>》，通过制定项目实施方案，经项目负责人审核通过后，有序开展后续工程。</w:t>
      </w:r>
    </w:p>
    <w:p w14:paraId="0FE0170F">
      <w:pPr>
        <w:pageBreakBefore w:val="0"/>
        <w:kinsoku/>
        <w:wordWrap/>
        <w:overflowPunct/>
        <w:topLinePunct w:val="0"/>
        <w:autoSpaceDE/>
        <w:autoSpaceDN/>
        <w:bidi w:val="0"/>
        <w:adjustRightInd/>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塔城地区精神病人福利机构建设项目可行性研究报告</w:t>
      </w:r>
      <w:r>
        <w:rPr>
          <w:rFonts w:hint="eastAsia" w:ascii="仿宋_GB2312" w:hAnsi="仿宋_GB2312" w:eastAsia="仿宋_GB2312" w:cs="仿宋_GB2312"/>
          <w:sz w:val="32"/>
          <w:szCs w:val="32"/>
          <w:highlight w:val="none"/>
        </w:rPr>
        <w:t>》要求逐一进行项目部署安排，提高项目质量及效率性。</w:t>
      </w:r>
      <w:r>
        <w:rPr>
          <w:rFonts w:hint="eastAsia" w:ascii="仿宋_GB2312" w:hAnsi="仿宋_GB2312" w:eastAsia="仿宋_GB2312" w:cs="仿宋_GB2312"/>
          <w:sz w:val="32"/>
          <w:szCs w:val="32"/>
          <w:highlight w:val="none"/>
          <w:lang w:val="en-US" w:eastAsia="zh-CN"/>
        </w:rPr>
        <w:t>2018年年底之前完成主体的建设，2019年6月投入使用。</w:t>
      </w:r>
    </w:p>
    <w:p w14:paraId="08AF4E25">
      <w:pPr>
        <w:pageBreakBefore w:val="0"/>
        <w:kinsoku/>
        <w:wordWrap/>
        <w:overflowPunct/>
        <w:topLinePunct w:val="0"/>
        <w:autoSpaceDE/>
        <w:autoSpaceDN/>
        <w:bidi w:val="0"/>
        <w:adjustRightInd/>
        <w:snapToGrid w:val="0"/>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二、绩效评价工作开展情况</w:t>
      </w:r>
    </w:p>
    <w:p w14:paraId="3B577F81">
      <w:pPr>
        <w:pageBreakBefore w:val="0"/>
        <w:kinsoku/>
        <w:wordWrap/>
        <w:overflowPunct/>
        <w:topLinePunct w:val="0"/>
        <w:autoSpaceDE/>
        <w:autoSpaceDN/>
        <w:bidi w:val="0"/>
        <w:adjustRightInd/>
        <w:snapToGrid w:val="0"/>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（一）绩效评价目的、对象和范围</w:t>
      </w:r>
    </w:p>
    <w:p w14:paraId="38A04BE1">
      <w:pPr>
        <w:pStyle w:val="2"/>
        <w:pageBreakBefore w:val="0"/>
        <w:widowControl w:val="0"/>
        <w:kinsoku/>
        <w:wordWrap/>
        <w:overflowPunct/>
        <w:topLinePunct w:val="0"/>
        <w:autoSpaceDE/>
        <w:autoSpaceDN/>
        <w:bidi w:val="0"/>
        <w:adjustRightInd/>
        <w:snapToGrid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1、绩效评价的目的</w:t>
      </w:r>
    </w:p>
    <w:p w14:paraId="5E85292E">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财政支出绩效评价运用科学、规范的绩效评价方法，制定统一的评价标准，使财政资金得到事前、事中和事后多方面的控制。</w:t>
      </w:r>
      <w:r>
        <w:rPr>
          <w:rFonts w:hint="eastAsia" w:ascii="仿宋_GB2312" w:hAnsi="仿宋_GB2312" w:eastAsia="仿宋_GB2312" w:cs="仿宋_GB2312"/>
          <w:sz w:val="32"/>
          <w:szCs w:val="32"/>
          <w:highlight w:val="none"/>
          <w:lang w:val="en-US" w:eastAsia="zh-CN"/>
        </w:rPr>
        <w:t>运用科学、规范的绩效评价方法，按照财政部《关于印发&lt;项目支出绩效评价管理办法&gt;的通知》，《关于印发&lt;塔城地区全面实施财政支出绩效管理的工作方案&gt;的通知》（塔财预〔2020〕15号），对《地区精神病人福利机构建设》项目进行科学评价，购置资金项目预算编制合理性、资金使用合规性、项目管理的规范性、项目目标的实现情况、服务对象的满意度等，通过本次绩效评价来总结经验和教训，促进项目成果转化和应用，为今后类似项目的长效管理，提供可行性参考建议。从专项资金的角度提出有针对性的建议，提高对《地区精神病人福利机构建设》的有效利用度，进一步提升塔城地区精神卫生疾病治疗水平，有利于保证广大人民群众身心健康和社会稳定。</w:t>
      </w:r>
      <w:r>
        <w:rPr>
          <w:rFonts w:hint="eastAsia" w:ascii="仿宋_GB2312" w:hAnsi="仿宋_GB2312" w:eastAsia="仿宋_GB2312" w:cs="仿宋_GB2312"/>
          <w:sz w:val="32"/>
          <w:szCs w:val="32"/>
          <w:highlight w:val="none"/>
        </w:rPr>
        <w:t>塔城</w:t>
      </w:r>
      <w:r>
        <w:rPr>
          <w:rFonts w:hint="eastAsia" w:ascii="仿宋_GB2312" w:hAnsi="仿宋_GB2312" w:eastAsia="仿宋_GB2312" w:cs="仿宋_GB2312"/>
          <w:sz w:val="32"/>
          <w:szCs w:val="32"/>
          <w:highlight w:val="none"/>
          <w:lang w:eastAsia="zh-CN"/>
        </w:rPr>
        <w:t>地区</w:t>
      </w:r>
      <w:r>
        <w:rPr>
          <w:rFonts w:hint="eastAsia" w:ascii="仿宋_GB2312" w:hAnsi="仿宋_GB2312" w:eastAsia="仿宋_GB2312" w:cs="仿宋_GB2312"/>
          <w:sz w:val="32"/>
          <w:szCs w:val="32"/>
          <w:highlight w:val="none"/>
          <w:lang w:val="en-US" w:eastAsia="zh-CN"/>
        </w:rPr>
        <w:t>精神病人福利机构</w:t>
      </w:r>
      <w:r>
        <w:rPr>
          <w:rFonts w:hint="eastAsia" w:ascii="仿宋_GB2312" w:hAnsi="仿宋_GB2312" w:eastAsia="仿宋_GB2312" w:cs="仿宋_GB2312"/>
          <w:sz w:val="32"/>
          <w:szCs w:val="32"/>
          <w:highlight w:val="none"/>
        </w:rPr>
        <w:t>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EDE9514">
      <w:pPr>
        <w:pageBreakBefore w:val="0"/>
        <w:numPr>
          <w:ilvl w:val="0"/>
          <w:numId w:val="2"/>
        </w:numPr>
        <w:kinsoku/>
        <w:wordWrap/>
        <w:overflowPunct/>
        <w:topLinePunct w:val="0"/>
        <w:autoSpaceDE/>
        <w:autoSpaceDN/>
        <w:bidi w:val="0"/>
        <w:adjustRightInd/>
        <w:snapToGrid w:val="0"/>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地区精神病人福利机构建设</w:t>
      </w:r>
      <w:r>
        <w:rPr>
          <w:rFonts w:hint="eastAsia" w:ascii="仿宋_GB2312" w:hAnsi="仿宋_GB2312" w:eastAsia="仿宋_GB2312" w:cs="仿宋_GB2312"/>
          <w:sz w:val="32"/>
          <w:szCs w:val="32"/>
          <w:highlight w:val="none"/>
        </w:rPr>
        <w:t>】项目在实施前向项目负责人提供财政支出绩效方面的资金管理信息，促进项目支出严格按照资金管理规定进行。</w:t>
      </w:r>
    </w:p>
    <w:p w14:paraId="035B5557">
      <w:pPr>
        <w:pageBreakBefore w:val="0"/>
        <w:numPr>
          <w:ilvl w:val="0"/>
          <w:numId w:val="2"/>
        </w:numPr>
        <w:kinsoku/>
        <w:wordWrap/>
        <w:overflowPunct/>
        <w:topLinePunct w:val="0"/>
        <w:autoSpaceDE/>
        <w:autoSpaceDN/>
        <w:bidi w:val="0"/>
        <w:adjustRightInd/>
        <w:snapToGrid w:val="0"/>
        <w:spacing w:line="560" w:lineRule="exact"/>
        <w:ind w:left="0" w:leftChars="0" w:firstLine="641" w:firstLineChars="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地区精神病人福利机构建设</w:t>
      </w:r>
      <w:r>
        <w:rPr>
          <w:rFonts w:hint="eastAsia" w:ascii="仿宋_GB2312" w:hAnsi="仿宋_GB2312" w:eastAsia="仿宋_GB2312" w:cs="仿宋_GB2312"/>
          <w:sz w:val="32"/>
          <w:szCs w:val="32"/>
          <w:highlight w:val="none"/>
        </w:rPr>
        <w:t>】项目绩效管理财政</w:t>
      </w:r>
    </w:p>
    <w:p w14:paraId="0C4F827D">
      <w:pPr>
        <w:pageBreakBefore w:val="0"/>
        <w:numPr>
          <w:ilvl w:val="0"/>
          <w:numId w:val="0"/>
        </w:numPr>
        <w:kinsoku/>
        <w:wordWrap/>
        <w:overflowPunct/>
        <w:topLinePunct w:val="0"/>
        <w:autoSpaceDE/>
        <w:autoSpaceDN/>
        <w:bidi w:val="0"/>
        <w:adjustRightInd/>
        <w:snapToGrid w:val="0"/>
        <w:spacing w:line="560" w:lineRule="exac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支出运行提供及时、有效的信息。</w:t>
      </w:r>
    </w:p>
    <w:p w14:paraId="5417BAC9">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综合来看，通过开展有效的财政支出绩效评价管理，达到改进预算管理、控制节约成本，提高预算资金使用效益的目的。</w:t>
      </w:r>
    </w:p>
    <w:p w14:paraId="2389763E">
      <w:pPr>
        <w:pStyle w:val="2"/>
        <w:pageBreakBefore w:val="0"/>
        <w:widowControl w:val="0"/>
        <w:kinsoku/>
        <w:wordWrap/>
        <w:overflowPunct/>
        <w:topLinePunct w:val="0"/>
        <w:autoSpaceDE/>
        <w:autoSpaceDN/>
        <w:bidi w:val="0"/>
        <w:adjustRightInd/>
        <w:snapToGrid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2、绩效评价的对象</w:t>
      </w:r>
    </w:p>
    <w:p w14:paraId="04FD6843">
      <w:pPr>
        <w:pStyle w:val="2"/>
        <w:pageBreakBefore w:val="0"/>
        <w:widowControl w:val="0"/>
        <w:kinsoku/>
        <w:wordWrap/>
        <w:overflowPunct/>
        <w:topLinePunct w:val="0"/>
        <w:autoSpaceDE/>
        <w:autoSpaceDN/>
        <w:bidi w:val="0"/>
        <w:adjustRightInd/>
        <w:snapToGrid w:val="0"/>
        <w:spacing w:before="0" w:after="0" w:line="560" w:lineRule="exact"/>
        <w:ind w:firstLine="641"/>
        <w:jc w:val="both"/>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地区精神病人福利机构建设项目</w:t>
      </w:r>
    </w:p>
    <w:p w14:paraId="44BE80AC">
      <w:pPr>
        <w:pStyle w:val="2"/>
        <w:pageBreakBefore w:val="0"/>
        <w:widowControl w:val="0"/>
        <w:kinsoku/>
        <w:wordWrap/>
        <w:overflowPunct/>
        <w:topLinePunct w:val="0"/>
        <w:autoSpaceDE/>
        <w:autoSpaceDN/>
        <w:bidi w:val="0"/>
        <w:adjustRightInd/>
        <w:snapToGrid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3、绩效评价的范围</w:t>
      </w:r>
    </w:p>
    <w:p w14:paraId="5AFDC7EB">
      <w:pPr>
        <w:pageBreakBefore w:val="0"/>
        <w:kinsoku/>
        <w:wordWrap/>
        <w:overflowPunct/>
        <w:topLinePunct w:val="0"/>
        <w:autoSpaceDE/>
        <w:autoSpaceDN/>
        <w:bidi w:val="0"/>
        <w:adjustRightInd/>
        <w:snapToGrid w:val="0"/>
        <w:spacing w:line="560" w:lineRule="exact"/>
        <w:ind w:firstLine="641"/>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次绩效评价范围从决策、过程、产出、效益4个一级指标评价。其中：决策下项目立项、绩效目标、资金投入3个二级指标；过程下设资金管理和组织实施2个二级指标。产出下设产出数量、产出质量、产出时效、产出成本4个2级指标，效益下设项目效益1个二级指标。10个二级指标下设到17个三级指标综合评价。</w:t>
      </w:r>
    </w:p>
    <w:p w14:paraId="2156A3CB">
      <w:pPr>
        <w:pageBreakBefore w:val="0"/>
        <w:kinsoku/>
        <w:wordWrap/>
        <w:overflowPunct/>
        <w:topLinePunct w:val="0"/>
        <w:autoSpaceDE/>
        <w:autoSpaceDN/>
        <w:bidi w:val="0"/>
        <w:adjustRightInd/>
        <w:snapToGrid w:val="0"/>
        <w:spacing w:line="560" w:lineRule="exact"/>
        <w:ind w:firstLine="641"/>
        <w:rPr>
          <w:rFonts w:ascii="仿宋_GB2312"/>
          <w:highlight w:val="none"/>
        </w:rPr>
      </w:pPr>
      <w:r>
        <w:rPr>
          <w:rFonts w:hint="eastAsia" w:ascii="楷体_GB2312" w:hAnsi="楷体_GB2312" w:eastAsia="楷体_GB2312" w:cs="楷体_GB2312"/>
          <w:b/>
          <w:bCs/>
          <w:sz w:val="32"/>
          <w:szCs w:val="32"/>
          <w:highlight w:val="none"/>
        </w:rPr>
        <w:t>（二）绩效评价原则、评价指标体系（详情见表1）、评价方法、评价标准。</w:t>
      </w:r>
    </w:p>
    <w:p w14:paraId="5139B901">
      <w:pPr>
        <w:pStyle w:val="2"/>
        <w:pageBreakBefore w:val="0"/>
        <w:widowControl w:val="0"/>
        <w:kinsoku/>
        <w:wordWrap/>
        <w:overflowPunct/>
        <w:topLinePunct w:val="0"/>
        <w:autoSpaceDE/>
        <w:autoSpaceDN/>
        <w:bidi w:val="0"/>
        <w:adjustRightInd/>
        <w:snapToGrid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1、绩效评价原则</w:t>
      </w:r>
    </w:p>
    <w:p w14:paraId="0ACE2BA4">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本次项目绩效评价遵循以下基本原则：</w:t>
      </w:r>
    </w:p>
    <w:p w14:paraId="6C47E188">
      <w:pPr>
        <w:pStyle w:val="2"/>
        <w:pageBreakBefore w:val="0"/>
        <w:kinsoku/>
        <w:wordWrap/>
        <w:overflowPunct/>
        <w:topLinePunct w:val="0"/>
        <w:autoSpaceDE/>
        <w:autoSpaceDN/>
        <w:bidi w:val="0"/>
        <w:adjustRightInd/>
        <w:snapToGrid w:val="0"/>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（1）科学公正。绩效评价应当运用科学合理的方法，按照规范的程序，对项目绩效进行客观、公正的反映。</w:t>
      </w:r>
    </w:p>
    <w:p w14:paraId="13F9AA91">
      <w:pPr>
        <w:pStyle w:val="2"/>
        <w:pageBreakBefore w:val="0"/>
        <w:kinsoku/>
        <w:wordWrap/>
        <w:overflowPunct/>
        <w:topLinePunct w:val="0"/>
        <w:autoSpaceDE/>
        <w:autoSpaceDN/>
        <w:bidi w:val="0"/>
        <w:adjustRightInd/>
        <w:snapToGrid w:val="0"/>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35CF90D9">
      <w:pPr>
        <w:pStyle w:val="2"/>
        <w:pageBreakBefore w:val="0"/>
        <w:kinsoku/>
        <w:wordWrap/>
        <w:overflowPunct/>
        <w:topLinePunct w:val="0"/>
        <w:autoSpaceDE/>
        <w:autoSpaceDN/>
        <w:bidi w:val="0"/>
        <w:adjustRightInd/>
        <w:snapToGrid w:val="0"/>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p>
    <w:p w14:paraId="6774A614">
      <w:pPr>
        <w:pStyle w:val="2"/>
        <w:pageBreakBefore w:val="0"/>
        <w:kinsoku/>
        <w:wordWrap/>
        <w:overflowPunct/>
        <w:topLinePunct w:val="0"/>
        <w:autoSpaceDE/>
        <w:autoSpaceDN/>
        <w:bidi w:val="0"/>
        <w:adjustRightInd/>
        <w:snapToGrid w:val="0"/>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（4）公开透明。绩效评价结果应依法依规公开，并自觉接受社会监督。</w:t>
      </w:r>
    </w:p>
    <w:p w14:paraId="74E804FA">
      <w:pPr>
        <w:pStyle w:val="2"/>
        <w:pageBreakBefore w:val="0"/>
        <w:widowControl w:val="0"/>
        <w:kinsoku/>
        <w:wordWrap/>
        <w:overflowPunct/>
        <w:topLinePunct w:val="0"/>
        <w:autoSpaceDE/>
        <w:autoSpaceDN/>
        <w:bidi w:val="0"/>
        <w:adjustRightInd/>
        <w:snapToGrid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2、评价指标体系</w:t>
      </w:r>
    </w:p>
    <w:p w14:paraId="47BA693F">
      <w:pPr>
        <w:pageBreakBefore w:val="0"/>
        <w:kinsoku/>
        <w:wordWrap/>
        <w:overflowPunct/>
        <w:topLinePunct w:val="0"/>
        <w:autoSpaceDE/>
        <w:autoSpaceDN/>
        <w:bidi w:val="0"/>
        <w:adjustRightInd/>
        <w:snapToGrid w:val="0"/>
        <w:spacing w:line="560" w:lineRule="exact"/>
        <w:ind w:firstLine="641"/>
        <w:rPr>
          <w:rFonts w:ascii="宋体" w:hAnsi="宋体" w:cs="宋体"/>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5903E86A">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w:t>
      </w:r>
      <w:r>
        <w:rPr>
          <w:rFonts w:hint="eastAsia" w:ascii="仿宋_GB2312" w:hAnsi="仿宋_GB2312" w:eastAsia="仿宋_GB2312" w:cs="仿宋_GB2312"/>
          <w:b w:val="0"/>
          <w:bCs w:val="0"/>
          <w:kern w:val="28"/>
          <w:sz w:val="32"/>
          <w:szCs w:val="32"/>
          <w:highlight w:val="none"/>
          <w:lang w:val="en-US" w:eastAsia="zh-CN" w:bidi="ar-SA"/>
        </w:rPr>
        <w:t>）确定评价指</w:t>
      </w:r>
      <w:r>
        <w:rPr>
          <w:rFonts w:hint="eastAsia" w:ascii="仿宋_GB2312" w:hAnsi="仿宋_GB2312" w:eastAsia="仿宋_GB2312" w:cs="仿宋_GB2312"/>
          <w:color w:val="000000"/>
          <w:spacing w:val="17"/>
          <w:sz w:val="32"/>
          <w:szCs w:val="32"/>
          <w:highlight w:val="none"/>
        </w:rPr>
        <w:t>标</w:t>
      </w:r>
    </w:p>
    <w:p w14:paraId="730C0B9F">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、项目产出、项目效益、项目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指标四个维度，最终形成一个由多个相互联系的指标组成的多层次指标体系。</w:t>
      </w:r>
    </w:p>
    <w:p w14:paraId="395749BC">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w:t>
      </w:r>
      <w:r>
        <w:rPr>
          <w:rFonts w:hint="eastAsia" w:ascii="仿宋_GB2312" w:hAnsi="仿宋_GB2312" w:eastAsia="仿宋_GB2312" w:cs="仿宋_GB2312"/>
          <w:b w:val="0"/>
          <w:bCs w:val="0"/>
          <w:kern w:val="28"/>
          <w:sz w:val="32"/>
          <w:szCs w:val="32"/>
          <w:highlight w:val="none"/>
          <w:lang w:val="en-US" w:eastAsia="zh-CN" w:bidi="ar-SA"/>
        </w:rPr>
        <w:t>确定权重</w:t>
      </w:r>
    </w:p>
    <w:p w14:paraId="6DE72010">
      <w:pPr>
        <w:pageBreakBefore w:val="0"/>
        <w:kinsoku/>
        <w:wordWrap/>
        <w:overflowPunct/>
        <w:topLinePunct w:val="0"/>
        <w:autoSpaceDE/>
        <w:autoSpaceDN/>
        <w:bidi w:val="0"/>
        <w:adjustRightInd/>
        <w:snapToGrid w:val="0"/>
        <w:spacing w:line="560" w:lineRule="exact"/>
        <w:ind w:firstLine="641"/>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权重为</w:t>
      </w:r>
      <w:r>
        <w:rPr>
          <w:rFonts w:hint="eastAsia" w:ascii="仿宋_GB2312" w:hAnsi="仿宋_GB2312" w:eastAsia="仿宋_GB2312" w:cs="仿宋_GB2312"/>
          <w:color w:val="000000"/>
          <w:spacing w:val="17"/>
          <w:sz w:val="32"/>
          <w:szCs w:val="32"/>
          <w:highlight w:val="none"/>
          <w:lang w:val="en-US" w:eastAsia="zh-CN"/>
        </w:rPr>
        <w:t>5分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5分</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50分</w:t>
      </w:r>
      <w:r>
        <w:rPr>
          <w:rFonts w:hint="eastAsia" w:ascii="仿宋_GB2312" w:hAnsi="仿宋_GB2312" w:eastAsia="仿宋_GB2312" w:cs="仿宋_GB2312"/>
          <w:color w:val="000000"/>
          <w:spacing w:val="17"/>
          <w:sz w:val="32"/>
          <w:szCs w:val="32"/>
          <w:highlight w:val="none"/>
        </w:rPr>
        <w:t>，项目效益权重占</w:t>
      </w:r>
      <w:r>
        <w:rPr>
          <w:rFonts w:hint="eastAsia" w:ascii="仿宋_GB2312" w:hAnsi="仿宋_GB2312" w:eastAsia="仿宋_GB2312" w:cs="仿宋_GB2312"/>
          <w:color w:val="000000"/>
          <w:spacing w:val="17"/>
          <w:sz w:val="32"/>
          <w:szCs w:val="32"/>
          <w:highlight w:val="none"/>
          <w:lang w:val="en-US" w:eastAsia="zh-CN"/>
        </w:rPr>
        <w:t>40分</w:t>
      </w:r>
      <w:r>
        <w:rPr>
          <w:rFonts w:hint="eastAsia" w:ascii="仿宋_GB2312" w:hAnsi="仿宋_GB2312" w:eastAsia="仿宋_GB2312" w:cs="仿宋_GB2312"/>
          <w:color w:val="000000"/>
          <w:spacing w:val="17"/>
          <w:sz w:val="32"/>
          <w:szCs w:val="32"/>
          <w:highlight w:val="none"/>
        </w:rPr>
        <w:t>。</w:t>
      </w:r>
    </w:p>
    <w:p w14:paraId="04BE3172">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14:paraId="0BD8C708">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5941D393">
      <w:pPr>
        <w:pStyle w:val="2"/>
        <w:pageBreakBefore w:val="0"/>
        <w:kinsoku/>
        <w:wordWrap/>
        <w:overflowPunct/>
        <w:topLinePunct w:val="0"/>
        <w:autoSpaceDE/>
        <w:autoSpaceDN/>
        <w:bidi w:val="0"/>
        <w:adjustRightInd/>
        <w:snapToGrid w:val="0"/>
        <w:spacing w:before="0" w:after="0" w:line="560" w:lineRule="exact"/>
        <w:ind w:firstLine="708" w:firstLineChars="200"/>
        <w:jc w:val="both"/>
        <w:rPr>
          <w:rFonts w:ascii="仿宋_GB2312" w:hAnsi="仿宋_GB2312" w:eastAsia="仿宋_GB2312" w:cs="仿宋_GB2312"/>
          <w:b w:val="0"/>
          <w:bCs w:val="0"/>
          <w:color w:val="000000"/>
          <w:spacing w:val="17"/>
          <w:kern w:val="2"/>
          <w:highlight w:val="none"/>
        </w:rPr>
      </w:pPr>
      <w:r>
        <w:rPr>
          <w:rFonts w:hint="eastAsia" w:ascii="仿宋_GB2312" w:hAnsi="仿宋_GB2312" w:eastAsia="仿宋_GB2312" w:cs="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tbl>
      <w:tblPr>
        <w:tblStyle w:val="22"/>
        <w:tblW w:w="8569" w:type="dxa"/>
        <w:tblInd w:w="0" w:type="dxa"/>
        <w:tblLayout w:type="fixed"/>
        <w:tblCellMar>
          <w:top w:w="0" w:type="dxa"/>
          <w:left w:w="0" w:type="dxa"/>
          <w:bottom w:w="0" w:type="dxa"/>
          <w:right w:w="0" w:type="dxa"/>
        </w:tblCellMar>
      </w:tblPr>
      <w:tblGrid>
        <w:gridCol w:w="1419"/>
        <w:gridCol w:w="2456"/>
        <w:gridCol w:w="3236"/>
        <w:gridCol w:w="1458"/>
      </w:tblGrid>
      <w:tr w14:paraId="57B0A482">
        <w:tblPrEx>
          <w:tblCellMar>
            <w:top w:w="0" w:type="dxa"/>
            <w:left w:w="0" w:type="dxa"/>
            <w:bottom w:w="0" w:type="dxa"/>
            <w:right w:w="0" w:type="dxa"/>
          </w:tblCellMar>
        </w:tblPrEx>
        <w:trPr>
          <w:trHeight w:val="510" w:hRule="atLeast"/>
        </w:trPr>
        <w:tc>
          <w:tcPr>
            <w:tcW w:w="14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F114064">
            <w:pPr>
              <w:pageBreakBefore w:val="0"/>
              <w:widowControl/>
              <w:kinsoku/>
              <w:wordWrap/>
              <w:overflowPunct/>
              <w:topLinePunct w:val="0"/>
              <w:autoSpaceDE/>
              <w:autoSpaceDN/>
              <w:bidi w:val="0"/>
              <w:adjustRightInd/>
              <w:snapToGrid w:val="0"/>
              <w:spacing w:line="560" w:lineRule="exact"/>
              <w:jc w:val="both"/>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一级指标</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4686BD0">
            <w:pPr>
              <w:pageBreakBefore w:val="0"/>
              <w:widowControl/>
              <w:kinsoku/>
              <w:wordWrap/>
              <w:overflowPunct/>
              <w:topLinePunct w:val="0"/>
              <w:autoSpaceDE/>
              <w:autoSpaceDN/>
              <w:bidi w:val="0"/>
              <w:adjustRightInd/>
              <w:snapToGrid w:val="0"/>
              <w:spacing w:line="560" w:lineRule="exact"/>
              <w:ind w:firstLine="560" w:firstLineChars="200"/>
              <w:jc w:val="both"/>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二级指标</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7E3536E">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三级指标</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8C590D4">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得分</w:t>
            </w:r>
          </w:p>
        </w:tc>
      </w:tr>
      <w:tr w14:paraId="205054CB">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272D887">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 w:hAnsi="仿宋" w:eastAsia="仿宋" w:cs="仿宋"/>
                <w:bCs/>
                <w:color w:val="000000"/>
                <w:kern w:val="0"/>
                <w:sz w:val="28"/>
                <w:szCs w:val="28"/>
                <w:highlight w:val="none"/>
              </w:rPr>
            </w:pPr>
            <w:r>
              <w:rPr>
                <w:rFonts w:hint="eastAsia" w:ascii="仿宋" w:hAnsi="仿宋" w:eastAsia="仿宋" w:cs="仿宋"/>
                <w:bCs/>
                <w:color w:val="000000"/>
                <w:kern w:val="0"/>
                <w:sz w:val="28"/>
                <w:szCs w:val="28"/>
                <w:highlight w:val="none"/>
              </w:rPr>
              <w:t>决策</w:t>
            </w:r>
          </w:p>
          <w:p w14:paraId="07A6E57A">
            <w:pPr>
              <w:pageBreakBefore w:val="0"/>
              <w:widowControl/>
              <w:kinsoku/>
              <w:wordWrap/>
              <w:overflowPunct/>
              <w:topLinePunct w:val="0"/>
              <w:autoSpaceDE/>
              <w:autoSpaceDN/>
              <w:bidi w:val="0"/>
              <w:adjustRightInd/>
              <w:snapToGrid w:val="0"/>
              <w:spacing w:line="560" w:lineRule="exact"/>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DFED246">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项目立项（</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　</w:t>
            </w: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14:paraId="5A65C0B2">
            <w:pPr>
              <w:pageBreakBefore w:val="0"/>
              <w:widowControl/>
              <w:kinsoku/>
              <w:wordWrap/>
              <w:overflowPunct/>
              <w:topLinePunct w:val="0"/>
              <w:autoSpaceDE/>
              <w:autoSpaceDN/>
              <w:bidi w:val="0"/>
              <w:adjustRightInd/>
              <w:snapToGrid w:val="0"/>
              <w:spacing w:line="560" w:lineRule="exact"/>
              <w:jc w:val="both"/>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立项依据充分性（</w:t>
            </w:r>
            <w:r>
              <w:rPr>
                <w:rFonts w:hint="eastAsia" w:ascii="仿宋" w:hAnsi="仿宋" w:eastAsia="仿宋" w:cs="仿宋"/>
                <w:bCs/>
                <w:color w:val="000000"/>
                <w:kern w:val="0"/>
                <w:sz w:val="28"/>
                <w:szCs w:val="28"/>
                <w:highlight w:val="none"/>
                <w:lang w:val="en-US" w:eastAsia="zh-CN"/>
              </w:rPr>
              <w:t>0</w:t>
            </w:r>
            <w:r>
              <w:rPr>
                <w:rFonts w:hint="eastAsia" w:ascii="仿宋" w:hAnsi="仿宋" w:eastAsia="仿宋" w:cs="仿宋"/>
                <w:bCs/>
                <w:color w:val="000000"/>
                <w:kern w:val="0"/>
                <w:sz w:val="28"/>
                <w:szCs w:val="28"/>
                <w:highlight w:val="none"/>
              </w:rPr>
              <w:t>.5分）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9CAC577">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0.5</w:t>
            </w:r>
          </w:p>
        </w:tc>
      </w:tr>
      <w:tr w14:paraId="503314EA">
        <w:tblPrEx>
          <w:tblCellMar>
            <w:top w:w="0" w:type="dxa"/>
            <w:left w:w="0" w:type="dxa"/>
            <w:bottom w:w="0" w:type="dxa"/>
            <w:right w:w="0" w:type="dxa"/>
          </w:tblCellMar>
        </w:tblPrEx>
        <w:trPr>
          <w:trHeight w:val="9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D56CFF8">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5F8282E">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09976E9">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立项程序（</w:t>
            </w:r>
            <w:r>
              <w:rPr>
                <w:rFonts w:hint="eastAsia" w:ascii="仿宋" w:hAnsi="仿宋" w:eastAsia="仿宋" w:cs="仿宋"/>
                <w:bCs/>
                <w:color w:val="000000"/>
                <w:kern w:val="0"/>
                <w:sz w:val="28"/>
                <w:szCs w:val="28"/>
                <w:highlight w:val="none"/>
                <w:lang w:val="en-US" w:eastAsia="zh-CN"/>
              </w:rPr>
              <w:t>0</w:t>
            </w:r>
            <w:r>
              <w:rPr>
                <w:rFonts w:hint="eastAsia" w:ascii="仿宋" w:hAnsi="仿宋" w:eastAsia="仿宋" w:cs="仿宋"/>
                <w:bCs/>
                <w:color w:val="000000"/>
                <w:kern w:val="0"/>
                <w:sz w:val="28"/>
                <w:szCs w:val="28"/>
                <w:highlight w:val="none"/>
              </w:rPr>
              <w:t>.5分）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A5D072E">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0.5</w:t>
            </w:r>
          </w:p>
        </w:tc>
      </w:tr>
      <w:tr w14:paraId="5092A47B">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020847B">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62E41C0">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绩效目标（</w:t>
            </w:r>
            <w:r>
              <w:rPr>
                <w:rFonts w:hint="eastAsia" w:ascii="仿宋" w:hAnsi="仿宋" w:eastAsia="仿宋" w:cs="仿宋"/>
                <w:bCs/>
                <w:color w:val="000000"/>
                <w:kern w:val="0"/>
                <w:sz w:val="28"/>
                <w:szCs w:val="28"/>
                <w:highlight w:val="none"/>
                <w:lang w:val="en-US" w:eastAsia="zh-CN"/>
              </w:rPr>
              <w:t>2</w:t>
            </w:r>
            <w:r>
              <w:rPr>
                <w:rFonts w:hint="eastAsia" w:ascii="仿宋" w:hAnsi="仿宋" w:eastAsia="仿宋" w:cs="仿宋"/>
                <w:bCs/>
                <w:color w:val="000000"/>
                <w:kern w:val="0"/>
                <w:sz w:val="28"/>
                <w:szCs w:val="28"/>
                <w:highlight w:val="none"/>
              </w:rPr>
              <w:t>分）　</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D9269E1">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绩效目标（</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7698EE1">
            <w:pPr>
              <w:pageBreakBefore w:val="0"/>
              <w:widowControl/>
              <w:kinsoku/>
              <w:wordWrap/>
              <w:overflowPunct/>
              <w:topLinePunct w:val="0"/>
              <w:autoSpaceDE/>
              <w:autoSpaceDN/>
              <w:bidi w:val="0"/>
              <w:adjustRightInd/>
              <w:snapToGrid w:val="0"/>
              <w:spacing w:line="560" w:lineRule="exact"/>
              <w:jc w:val="center"/>
              <w:rPr>
                <w:rFonts w:hint="default" w:ascii="仿宋" w:hAnsi="仿宋" w:eastAsia="宋体" w:cs="仿宋"/>
                <w:bCs/>
                <w:color w:val="000000"/>
                <w:sz w:val="28"/>
                <w:szCs w:val="28"/>
                <w:highlight w:val="none"/>
                <w:lang w:val="en-US" w:eastAsia="zh-CN"/>
              </w:rPr>
            </w:pPr>
            <w:r>
              <w:rPr>
                <w:rFonts w:hint="eastAsia" w:ascii="宋体" w:hAnsi="宋体" w:cs="宋体"/>
                <w:color w:val="000000"/>
                <w:kern w:val="0"/>
                <w:sz w:val="28"/>
                <w:szCs w:val="28"/>
                <w:highlight w:val="none"/>
              </w:rPr>
              <w:t>1</w:t>
            </w:r>
          </w:p>
        </w:tc>
      </w:tr>
      <w:tr w14:paraId="763B24BD">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17B47AE">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977E4FD">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7D48D9F">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绩效指标（</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A3A492C">
            <w:pPr>
              <w:pageBreakBefore w:val="0"/>
              <w:widowControl/>
              <w:kinsoku/>
              <w:wordWrap/>
              <w:overflowPunct/>
              <w:topLinePunct w:val="0"/>
              <w:autoSpaceDE/>
              <w:autoSpaceDN/>
              <w:bidi w:val="0"/>
              <w:adjustRightInd/>
              <w:snapToGrid w:val="0"/>
              <w:spacing w:line="560" w:lineRule="exact"/>
              <w:jc w:val="center"/>
              <w:rPr>
                <w:rFonts w:hint="default" w:ascii="仿宋" w:hAnsi="仿宋" w:eastAsia="宋体" w:cs="仿宋"/>
                <w:bCs/>
                <w:color w:val="000000"/>
                <w:sz w:val="28"/>
                <w:szCs w:val="28"/>
                <w:highlight w:val="none"/>
                <w:lang w:val="en-US" w:eastAsia="zh-CN"/>
              </w:rPr>
            </w:pPr>
            <w:r>
              <w:rPr>
                <w:rFonts w:hint="eastAsia" w:ascii="宋体" w:hAnsi="宋体" w:cs="宋体"/>
                <w:color w:val="000000"/>
                <w:kern w:val="0"/>
                <w:sz w:val="28"/>
                <w:szCs w:val="28"/>
                <w:highlight w:val="none"/>
              </w:rPr>
              <w:t>1</w:t>
            </w:r>
          </w:p>
        </w:tc>
      </w:tr>
      <w:tr w14:paraId="5FEB58E5">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DEDF992">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BA5C610">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资金投入（</w:t>
            </w:r>
            <w:r>
              <w:rPr>
                <w:rFonts w:hint="eastAsia" w:ascii="仿宋" w:hAnsi="仿宋" w:eastAsia="仿宋" w:cs="仿宋"/>
                <w:bCs/>
                <w:color w:val="000000"/>
                <w:kern w:val="0"/>
                <w:sz w:val="28"/>
                <w:szCs w:val="28"/>
                <w:highlight w:val="none"/>
                <w:lang w:val="en-US" w:eastAsia="zh-CN"/>
              </w:rPr>
              <w:t>2</w:t>
            </w:r>
            <w:r>
              <w:rPr>
                <w:rFonts w:hint="eastAsia" w:ascii="仿宋" w:hAnsi="仿宋" w:eastAsia="仿宋" w:cs="仿宋"/>
                <w:bCs/>
                <w:color w:val="000000"/>
                <w:kern w:val="0"/>
                <w:sz w:val="28"/>
                <w:szCs w:val="28"/>
                <w:highlight w:val="none"/>
              </w:rPr>
              <w:t>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AB2DB86">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预算编制（</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65D97F2">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w:t>
            </w:r>
          </w:p>
        </w:tc>
      </w:tr>
      <w:tr w14:paraId="5B74E115">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90FA1DA">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DCB6C33">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14:paraId="11802E99">
            <w:pPr>
              <w:pageBreakBefore w:val="0"/>
              <w:widowControl/>
              <w:kinsoku/>
              <w:wordWrap/>
              <w:overflowPunct/>
              <w:topLinePunct w:val="0"/>
              <w:autoSpaceDE/>
              <w:autoSpaceDN/>
              <w:bidi w:val="0"/>
              <w:adjustRightInd/>
              <w:snapToGrid w:val="0"/>
              <w:spacing w:line="560" w:lineRule="exact"/>
              <w:jc w:val="both"/>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资金分配合理性（</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A6D1F9C">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w:t>
            </w:r>
          </w:p>
        </w:tc>
      </w:tr>
      <w:tr w14:paraId="4797B5D3">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08AE89E">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 w:hAnsi="仿宋" w:eastAsia="仿宋" w:cs="仿宋"/>
                <w:bCs/>
                <w:color w:val="000000"/>
                <w:kern w:val="0"/>
                <w:sz w:val="28"/>
                <w:szCs w:val="28"/>
                <w:highlight w:val="none"/>
                <w:lang w:val="en-US" w:eastAsia="zh-CN"/>
              </w:rPr>
            </w:pPr>
            <w:r>
              <w:rPr>
                <w:rFonts w:hint="eastAsia" w:ascii="仿宋" w:hAnsi="仿宋" w:eastAsia="仿宋" w:cs="仿宋"/>
                <w:bCs/>
                <w:color w:val="000000"/>
                <w:kern w:val="0"/>
                <w:sz w:val="28"/>
                <w:szCs w:val="28"/>
                <w:highlight w:val="none"/>
              </w:rPr>
              <w:t>过程</w:t>
            </w:r>
          </w:p>
          <w:p w14:paraId="72BEE227">
            <w:pPr>
              <w:pageBreakBefore w:val="0"/>
              <w:widowControl/>
              <w:kinsoku/>
              <w:wordWrap/>
              <w:overflowPunct/>
              <w:topLinePunct w:val="0"/>
              <w:autoSpaceDE/>
              <w:autoSpaceDN/>
              <w:bidi w:val="0"/>
              <w:adjustRightInd/>
              <w:snapToGrid w:val="0"/>
              <w:spacing w:line="560" w:lineRule="exact"/>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A0161BA">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资金管理（</w:t>
            </w:r>
            <w:r>
              <w:rPr>
                <w:rFonts w:hint="eastAsia" w:ascii="仿宋" w:hAnsi="仿宋" w:eastAsia="仿宋" w:cs="仿宋"/>
                <w:bCs/>
                <w:color w:val="000000"/>
                <w:kern w:val="0"/>
                <w:sz w:val="28"/>
                <w:szCs w:val="28"/>
                <w:highlight w:val="none"/>
                <w:lang w:val="en-US" w:eastAsia="zh-CN"/>
              </w:rPr>
              <w:t>3</w:t>
            </w:r>
            <w:r>
              <w:rPr>
                <w:rFonts w:hint="eastAsia" w:ascii="仿宋" w:hAnsi="仿宋" w:eastAsia="仿宋" w:cs="仿宋"/>
                <w:bCs/>
                <w:color w:val="000000"/>
                <w:kern w:val="0"/>
                <w:sz w:val="28"/>
                <w:szCs w:val="28"/>
                <w:highlight w:val="none"/>
              </w:rPr>
              <w:t>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E9C1C91">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资金到位率（</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1F2DD05">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w:t>
            </w:r>
          </w:p>
        </w:tc>
      </w:tr>
      <w:tr w14:paraId="693C11C2">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87FE169">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3775369">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4BB186B">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预算执行率（</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36AE1FF">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w:t>
            </w:r>
          </w:p>
        </w:tc>
      </w:tr>
      <w:tr w14:paraId="0BD704EB">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13A1064">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032799E">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14:paraId="072A9091">
            <w:pPr>
              <w:pageBreakBefore w:val="0"/>
              <w:widowControl/>
              <w:kinsoku/>
              <w:wordWrap/>
              <w:overflowPunct/>
              <w:topLinePunct w:val="0"/>
              <w:autoSpaceDE/>
              <w:autoSpaceDN/>
              <w:bidi w:val="0"/>
              <w:adjustRightInd/>
              <w:snapToGrid w:val="0"/>
              <w:spacing w:line="560" w:lineRule="exact"/>
              <w:jc w:val="both"/>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资金使用合规性（</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B1A5337">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w:t>
            </w:r>
          </w:p>
        </w:tc>
      </w:tr>
      <w:tr w14:paraId="7C64EB51">
        <w:tblPrEx>
          <w:tblCellMar>
            <w:top w:w="0" w:type="dxa"/>
            <w:left w:w="0" w:type="dxa"/>
            <w:bottom w:w="0" w:type="dxa"/>
            <w:right w:w="0" w:type="dxa"/>
          </w:tblCellMar>
        </w:tblPrEx>
        <w:trPr>
          <w:trHeight w:val="45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C59EDEE">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9CFEDD2">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组织实施（</w:t>
            </w:r>
            <w:r>
              <w:rPr>
                <w:rFonts w:hint="eastAsia" w:ascii="仿宋" w:hAnsi="仿宋" w:eastAsia="仿宋" w:cs="仿宋"/>
                <w:bCs/>
                <w:color w:val="000000"/>
                <w:kern w:val="0"/>
                <w:sz w:val="28"/>
                <w:szCs w:val="28"/>
                <w:highlight w:val="none"/>
                <w:lang w:val="en-US" w:eastAsia="zh-CN"/>
              </w:rPr>
              <w:t>2</w:t>
            </w:r>
            <w:r>
              <w:rPr>
                <w:rFonts w:hint="eastAsia" w:ascii="仿宋" w:hAnsi="仿宋" w:eastAsia="仿宋" w:cs="仿宋"/>
                <w:bCs/>
                <w:color w:val="000000"/>
                <w:kern w:val="0"/>
                <w:sz w:val="28"/>
                <w:szCs w:val="28"/>
                <w:highlight w:val="none"/>
              </w:rPr>
              <w:t>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CE90596">
            <w:pPr>
              <w:pageBreakBefore w:val="0"/>
              <w:widowControl/>
              <w:kinsoku/>
              <w:wordWrap/>
              <w:overflowPunct/>
              <w:topLinePunct w:val="0"/>
              <w:autoSpaceDE/>
              <w:autoSpaceDN/>
              <w:bidi w:val="0"/>
              <w:adjustRightInd/>
              <w:snapToGrid w:val="0"/>
              <w:spacing w:line="560" w:lineRule="exact"/>
              <w:jc w:val="both"/>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管理制度健全性（</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7D6B1AA">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w:t>
            </w:r>
          </w:p>
        </w:tc>
      </w:tr>
      <w:tr w14:paraId="45492F5E">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2D73F7C">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BCCACD6">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8B7357B">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制度执行（</w:t>
            </w:r>
            <w:r>
              <w:rPr>
                <w:rFonts w:hint="eastAsia" w:ascii="仿宋" w:hAnsi="仿宋" w:eastAsia="仿宋" w:cs="仿宋"/>
                <w:bCs/>
                <w:color w:val="000000"/>
                <w:kern w:val="0"/>
                <w:sz w:val="28"/>
                <w:szCs w:val="28"/>
                <w:highlight w:val="none"/>
                <w:lang w:val="en-US" w:eastAsia="zh-CN"/>
              </w:rPr>
              <w:t>1</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F843FAA">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w:t>
            </w:r>
          </w:p>
        </w:tc>
      </w:tr>
      <w:tr w14:paraId="304F57FC">
        <w:tblPrEx>
          <w:tblCellMar>
            <w:top w:w="0" w:type="dxa"/>
            <w:left w:w="0" w:type="dxa"/>
            <w:bottom w:w="0" w:type="dxa"/>
            <w:right w:w="0" w:type="dxa"/>
          </w:tblCellMar>
        </w:tblPrEx>
        <w:trPr>
          <w:trHeight w:val="615"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E5D1E93">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 w:hAnsi="仿宋" w:eastAsia="仿宋" w:cs="仿宋"/>
                <w:bCs/>
                <w:color w:val="000000"/>
                <w:kern w:val="0"/>
                <w:sz w:val="28"/>
                <w:szCs w:val="28"/>
                <w:highlight w:val="none"/>
              </w:rPr>
            </w:pPr>
            <w:r>
              <w:rPr>
                <w:rFonts w:hint="eastAsia" w:ascii="仿宋" w:hAnsi="仿宋" w:eastAsia="仿宋" w:cs="仿宋"/>
                <w:bCs/>
                <w:color w:val="000000"/>
                <w:kern w:val="0"/>
                <w:sz w:val="28"/>
                <w:szCs w:val="28"/>
                <w:highlight w:val="none"/>
              </w:rPr>
              <w:t>产出</w:t>
            </w:r>
          </w:p>
          <w:p w14:paraId="5EBC3EBD">
            <w:pPr>
              <w:pageBreakBefore w:val="0"/>
              <w:widowControl/>
              <w:kinsoku/>
              <w:wordWrap/>
              <w:overflowPunct/>
              <w:topLinePunct w:val="0"/>
              <w:autoSpaceDE/>
              <w:autoSpaceDN/>
              <w:bidi w:val="0"/>
              <w:adjustRightInd/>
              <w:snapToGrid w:val="0"/>
              <w:spacing w:line="560" w:lineRule="exact"/>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w:t>
            </w:r>
            <w:r>
              <w:rPr>
                <w:rFonts w:hint="eastAsia" w:ascii="仿宋" w:hAnsi="仿宋" w:eastAsia="仿宋" w:cs="仿宋"/>
                <w:bCs/>
                <w:color w:val="000000"/>
                <w:kern w:val="0"/>
                <w:sz w:val="28"/>
                <w:szCs w:val="28"/>
                <w:highlight w:val="none"/>
                <w:lang w:val="en-US" w:eastAsia="zh-CN"/>
              </w:rPr>
              <w:t>50</w:t>
            </w:r>
            <w:r>
              <w:rPr>
                <w:rFonts w:hint="eastAsia" w:ascii="仿宋" w:hAnsi="仿宋" w:eastAsia="仿宋" w:cs="仿宋"/>
                <w:bCs/>
                <w:color w:val="000000"/>
                <w:kern w:val="0"/>
                <w:sz w:val="28"/>
                <w:szCs w:val="28"/>
                <w:highlight w:val="none"/>
              </w:rPr>
              <w:t>分）</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1EF887B">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产出数量（1</w:t>
            </w:r>
            <w:r>
              <w:rPr>
                <w:rFonts w:hint="eastAsia" w:ascii="仿宋" w:hAnsi="仿宋" w:eastAsia="仿宋" w:cs="仿宋"/>
                <w:bCs/>
                <w:color w:val="000000"/>
                <w:kern w:val="0"/>
                <w:sz w:val="28"/>
                <w:szCs w:val="28"/>
                <w:highlight w:val="none"/>
                <w:lang w:val="en-US" w:eastAsia="zh-CN"/>
              </w:rPr>
              <w:t>5</w:t>
            </w:r>
            <w:r>
              <w:rPr>
                <w:rFonts w:hint="eastAsia" w:ascii="仿宋" w:hAnsi="仿宋" w:eastAsia="仿宋" w:cs="仿宋"/>
                <w:bCs/>
                <w:color w:val="000000"/>
                <w:kern w:val="0"/>
                <w:sz w:val="28"/>
                <w:szCs w:val="28"/>
                <w:highlight w:val="none"/>
              </w:rPr>
              <w:t>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5074C54">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实际完成率（</w:t>
            </w:r>
            <w:r>
              <w:rPr>
                <w:rFonts w:hint="eastAsia" w:ascii="仿宋" w:hAnsi="仿宋" w:eastAsia="仿宋" w:cs="仿宋"/>
                <w:bCs/>
                <w:color w:val="000000"/>
                <w:kern w:val="0"/>
                <w:sz w:val="28"/>
                <w:szCs w:val="28"/>
                <w:highlight w:val="none"/>
                <w:lang w:val="en-US" w:eastAsia="zh-CN"/>
              </w:rPr>
              <w:t>15</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CCAF36E">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15</w:t>
            </w:r>
          </w:p>
        </w:tc>
      </w:tr>
      <w:tr w14:paraId="08C8E658">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33993E8">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6ED7128">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产出质量（10分）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6BCEAB9">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质量达标率（10分）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BF83E96">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10</w:t>
            </w:r>
          </w:p>
        </w:tc>
      </w:tr>
      <w:tr w14:paraId="3FDE496A">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8847DA2">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287F396">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产出时效（1</w:t>
            </w:r>
            <w:r>
              <w:rPr>
                <w:rFonts w:hint="eastAsia" w:ascii="仿宋" w:hAnsi="仿宋" w:eastAsia="仿宋" w:cs="仿宋"/>
                <w:bCs/>
                <w:color w:val="000000"/>
                <w:kern w:val="0"/>
                <w:sz w:val="28"/>
                <w:szCs w:val="28"/>
                <w:highlight w:val="none"/>
                <w:lang w:val="en-US" w:eastAsia="zh-CN"/>
              </w:rPr>
              <w:t>5</w:t>
            </w:r>
            <w:r>
              <w:rPr>
                <w:rFonts w:hint="eastAsia" w:ascii="仿宋" w:hAnsi="仿宋" w:eastAsia="仿宋" w:cs="仿宋"/>
                <w:bCs/>
                <w:color w:val="000000"/>
                <w:kern w:val="0"/>
                <w:sz w:val="28"/>
                <w:szCs w:val="28"/>
                <w:highlight w:val="none"/>
              </w:rPr>
              <w:t>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110836A">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完成及时性（1</w:t>
            </w:r>
            <w:r>
              <w:rPr>
                <w:rFonts w:hint="eastAsia" w:ascii="仿宋" w:hAnsi="仿宋" w:eastAsia="仿宋" w:cs="仿宋"/>
                <w:bCs/>
                <w:color w:val="000000"/>
                <w:kern w:val="0"/>
                <w:sz w:val="28"/>
                <w:szCs w:val="28"/>
                <w:highlight w:val="none"/>
                <w:lang w:val="en-US" w:eastAsia="zh-CN"/>
              </w:rPr>
              <w:t>5</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DF78B0A">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15</w:t>
            </w:r>
          </w:p>
        </w:tc>
      </w:tr>
      <w:tr w14:paraId="4C7FA252">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3F6F3E4">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6ECE481">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产出成本（10分）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6BC7FB2">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成本节约率（10分）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EB3410F">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10</w:t>
            </w:r>
          </w:p>
        </w:tc>
      </w:tr>
      <w:tr w14:paraId="7C07EB5A">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5EFF34E">
            <w:pPr>
              <w:pageBreakBefore w:val="0"/>
              <w:widowControl/>
              <w:kinsoku/>
              <w:wordWrap/>
              <w:overflowPunct/>
              <w:topLinePunct w:val="0"/>
              <w:autoSpaceDE/>
              <w:autoSpaceDN/>
              <w:bidi w:val="0"/>
              <w:adjustRightInd/>
              <w:snapToGrid w:val="0"/>
              <w:spacing w:line="560" w:lineRule="exact"/>
              <w:ind w:left="280" w:hanging="280" w:hangingChars="1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效益</w:t>
            </w:r>
            <w:r>
              <w:rPr>
                <w:rFonts w:hint="eastAsia" w:ascii="仿宋" w:hAnsi="仿宋" w:eastAsia="仿宋" w:cs="仿宋"/>
                <w:bCs/>
                <w:color w:val="000000"/>
                <w:kern w:val="0"/>
                <w:sz w:val="28"/>
                <w:szCs w:val="28"/>
                <w:highlight w:val="none"/>
                <w:lang w:val="en-US" w:eastAsia="zh-CN"/>
              </w:rPr>
              <w:t xml:space="preserve">   </w:t>
            </w:r>
            <w:r>
              <w:rPr>
                <w:rFonts w:hint="eastAsia" w:ascii="仿宋" w:hAnsi="仿宋" w:eastAsia="仿宋" w:cs="仿宋"/>
                <w:bCs/>
                <w:color w:val="000000"/>
                <w:kern w:val="0"/>
                <w:sz w:val="28"/>
                <w:szCs w:val="28"/>
                <w:highlight w:val="none"/>
              </w:rPr>
              <w:t>（</w:t>
            </w:r>
            <w:r>
              <w:rPr>
                <w:rFonts w:hint="eastAsia" w:ascii="仿宋" w:hAnsi="仿宋" w:eastAsia="仿宋" w:cs="仿宋"/>
                <w:bCs/>
                <w:color w:val="000000"/>
                <w:kern w:val="0"/>
                <w:sz w:val="28"/>
                <w:szCs w:val="28"/>
                <w:highlight w:val="none"/>
                <w:lang w:val="en-US" w:eastAsia="zh-CN"/>
              </w:rPr>
              <w:t>40</w:t>
            </w:r>
            <w:r>
              <w:rPr>
                <w:rFonts w:hint="eastAsia" w:ascii="仿宋" w:hAnsi="仿宋" w:eastAsia="仿宋" w:cs="仿宋"/>
                <w:bCs/>
                <w:color w:val="000000"/>
                <w:kern w:val="0"/>
                <w:sz w:val="28"/>
                <w:szCs w:val="28"/>
                <w:highlight w:val="none"/>
              </w:rPr>
              <w:t>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3529A6D">
            <w:pPr>
              <w:pageBreakBefore w:val="0"/>
              <w:widowControl/>
              <w:kinsoku/>
              <w:wordWrap/>
              <w:overflowPunct/>
              <w:topLinePunct w:val="0"/>
              <w:autoSpaceDE/>
              <w:autoSpaceDN/>
              <w:bidi w:val="0"/>
              <w:adjustRightInd/>
              <w:snapToGrid w:val="0"/>
              <w:spacing w:line="560" w:lineRule="exact"/>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项目效益（</w:t>
            </w:r>
            <w:r>
              <w:rPr>
                <w:rFonts w:hint="eastAsia" w:ascii="仿宋" w:hAnsi="仿宋" w:eastAsia="仿宋" w:cs="仿宋"/>
                <w:bCs/>
                <w:color w:val="000000"/>
                <w:kern w:val="0"/>
                <w:sz w:val="28"/>
                <w:szCs w:val="28"/>
                <w:highlight w:val="none"/>
                <w:lang w:val="en-US" w:eastAsia="zh-CN"/>
              </w:rPr>
              <w:t>40</w:t>
            </w:r>
            <w:r>
              <w:rPr>
                <w:rFonts w:hint="eastAsia" w:ascii="仿宋" w:hAnsi="仿宋" w:eastAsia="仿宋" w:cs="仿宋"/>
                <w:bCs/>
                <w:color w:val="000000"/>
                <w:kern w:val="0"/>
                <w:sz w:val="28"/>
                <w:szCs w:val="28"/>
                <w:highlight w:val="none"/>
              </w:rPr>
              <w:t>分）　</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C155140">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实施效益（</w:t>
            </w:r>
            <w:r>
              <w:rPr>
                <w:rFonts w:hint="eastAsia" w:ascii="仿宋" w:hAnsi="仿宋" w:eastAsia="仿宋" w:cs="仿宋"/>
                <w:bCs/>
                <w:color w:val="000000"/>
                <w:kern w:val="0"/>
                <w:sz w:val="28"/>
                <w:szCs w:val="28"/>
                <w:highlight w:val="none"/>
                <w:lang w:val="en-US" w:eastAsia="zh-CN"/>
              </w:rPr>
              <w:t>30</w:t>
            </w:r>
            <w:r>
              <w:rPr>
                <w:rFonts w:hint="eastAsia" w:ascii="仿宋" w:hAnsi="仿宋" w:eastAsia="仿宋" w:cs="仿宋"/>
                <w:bCs/>
                <w:color w:val="000000"/>
                <w:kern w:val="0"/>
                <w:sz w:val="28"/>
                <w:szCs w:val="28"/>
                <w:highlight w:val="none"/>
              </w:rPr>
              <w:t>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AFADFA7">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30</w:t>
            </w:r>
          </w:p>
        </w:tc>
      </w:tr>
      <w:tr w14:paraId="496235F1">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703C1DB">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E016F1B">
            <w:pPr>
              <w:pageBreakBefore w:val="0"/>
              <w:kinsoku/>
              <w:wordWrap/>
              <w:overflowPunct/>
              <w:topLinePunct w:val="0"/>
              <w:autoSpaceDE/>
              <w:autoSpaceDN/>
              <w:bidi w:val="0"/>
              <w:adjustRightInd/>
              <w:snapToGrid w:val="0"/>
              <w:spacing w:line="560" w:lineRule="exact"/>
              <w:ind w:firstLine="560" w:firstLineChars="200"/>
              <w:jc w:val="center"/>
              <w:rPr>
                <w:rFonts w:ascii="仿宋" w:hAnsi="仿宋" w:eastAsia="仿宋" w:cs="仿宋"/>
                <w:bCs/>
                <w:color w:val="000000"/>
                <w:sz w:val="28"/>
                <w:szCs w:val="28"/>
                <w:highlight w:val="none"/>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75A64EE">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满意度（10分）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28D2470">
            <w:pPr>
              <w:pageBreakBefore w:val="0"/>
              <w:widowControl/>
              <w:kinsoku/>
              <w:wordWrap/>
              <w:overflowPunct/>
              <w:topLinePunct w:val="0"/>
              <w:autoSpaceDE/>
              <w:autoSpaceDN/>
              <w:bidi w:val="0"/>
              <w:adjustRightInd/>
              <w:snapToGrid w:val="0"/>
              <w:spacing w:line="560" w:lineRule="exact"/>
              <w:jc w:val="center"/>
              <w:rPr>
                <w:rFonts w:ascii="仿宋" w:hAnsi="仿宋" w:eastAsia="仿宋" w:cs="仿宋"/>
                <w:bCs/>
                <w:color w:val="000000"/>
                <w:sz w:val="28"/>
                <w:szCs w:val="28"/>
                <w:highlight w:val="none"/>
              </w:rPr>
            </w:pPr>
            <w:r>
              <w:rPr>
                <w:rFonts w:hint="eastAsia" w:ascii="宋体" w:hAnsi="宋体" w:cs="宋体"/>
                <w:color w:val="000000"/>
                <w:kern w:val="0"/>
                <w:sz w:val="28"/>
                <w:szCs w:val="28"/>
                <w:highlight w:val="none"/>
              </w:rPr>
              <w:t>10</w:t>
            </w:r>
          </w:p>
        </w:tc>
      </w:tr>
      <w:tr w14:paraId="0CF2C531">
        <w:tblPrEx>
          <w:tblCellMar>
            <w:top w:w="0" w:type="dxa"/>
            <w:left w:w="0" w:type="dxa"/>
            <w:bottom w:w="0" w:type="dxa"/>
            <w:right w:w="0" w:type="dxa"/>
          </w:tblCellMar>
        </w:tblPrEx>
        <w:trPr>
          <w:trHeight w:val="312" w:hRule="atLeast"/>
        </w:trPr>
        <w:tc>
          <w:tcPr>
            <w:tcW w:w="711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6F0CEA">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rPr>
              <w:t>合计</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4ED6998">
            <w:pPr>
              <w:pageBreakBefore w:val="0"/>
              <w:widowControl/>
              <w:kinsoku/>
              <w:wordWrap/>
              <w:overflowPunct/>
              <w:topLinePunct w:val="0"/>
              <w:autoSpaceDE/>
              <w:autoSpaceDN/>
              <w:bidi w:val="0"/>
              <w:adjustRightInd/>
              <w:snapToGrid w:val="0"/>
              <w:spacing w:line="560" w:lineRule="exact"/>
              <w:jc w:val="center"/>
              <w:textAlignment w:val="center"/>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kern w:val="0"/>
                <w:sz w:val="28"/>
                <w:szCs w:val="28"/>
                <w:highlight w:val="none"/>
                <w:lang w:val="en-US" w:eastAsia="zh-CN"/>
              </w:rPr>
              <w:t>100</w:t>
            </w:r>
          </w:p>
        </w:tc>
      </w:tr>
    </w:tbl>
    <w:p w14:paraId="328B054E">
      <w:pPr>
        <w:pStyle w:val="2"/>
        <w:pageBreakBefore w:val="0"/>
        <w:widowControl w:val="0"/>
        <w:kinsoku/>
        <w:wordWrap/>
        <w:overflowPunct/>
        <w:topLinePunct w:val="0"/>
        <w:autoSpaceDE/>
        <w:autoSpaceDN/>
        <w:bidi w:val="0"/>
        <w:adjustRightInd/>
        <w:snapToGrid w:val="0"/>
        <w:spacing w:before="0" w:after="0" w:line="560" w:lineRule="exact"/>
        <w:ind w:firstLine="643" w:firstLineChars="200"/>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3、绩效评价方法</w:t>
      </w:r>
    </w:p>
    <w:p w14:paraId="3FACD5E4">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676C3AFD">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7EA322B">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（1）比较法</w:t>
      </w:r>
    </w:p>
    <w:p w14:paraId="0C2BE608">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通过对绩效目标与实施效果、历史与当期情况，综合分析绩效目标实现程度。对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最终验收情况与年度绩效目标对比、预算资金执行情况等相关因素进行比较。</w:t>
      </w:r>
    </w:p>
    <w:p w14:paraId="651B5ACA">
      <w:pPr>
        <w:pageBreakBefore w:val="0"/>
        <w:kinsoku/>
        <w:wordWrap/>
        <w:overflowPunct/>
        <w:topLinePunct w:val="0"/>
        <w:autoSpaceDE/>
        <w:autoSpaceDN/>
        <w:bidi w:val="0"/>
        <w:adjustRightInd/>
        <w:snapToGrid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（2）因素分析法</w:t>
      </w:r>
    </w:p>
    <w:p w14:paraId="7573B3B8">
      <w:pPr>
        <w:pageBreakBefore w:val="0"/>
        <w:kinsoku/>
        <w:wordWrap/>
        <w:overflowPunct/>
        <w:topLinePunct w:val="0"/>
        <w:autoSpaceDE/>
        <w:autoSpaceDN/>
        <w:bidi w:val="0"/>
        <w:adjustRightInd/>
        <w:snapToGrid w:val="0"/>
        <w:spacing w:line="560" w:lineRule="exact"/>
        <w:ind w:firstLine="641"/>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4C765902">
      <w:pPr>
        <w:pStyle w:val="2"/>
        <w:pageBreakBefore w:val="0"/>
        <w:widowControl w:val="0"/>
        <w:kinsoku/>
        <w:wordWrap/>
        <w:overflowPunct/>
        <w:topLinePunct w:val="0"/>
        <w:autoSpaceDE/>
        <w:autoSpaceDN/>
        <w:bidi w:val="0"/>
        <w:adjustRightInd/>
        <w:snapToGrid w:val="0"/>
        <w:spacing w:before="0" w:after="0" w:line="560" w:lineRule="exact"/>
        <w:ind w:firstLine="641"/>
        <w:jc w:val="both"/>
        <w:outlineLvl w:val="9"/>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4、评价标准</w:t>
      </w:r>
    </w:p>
    <w:p w14:paraId="31DBF837">
      <w:pPr>
        <w:pageBreakBefore w:val="0"/>
        <w:kinsoku/>
        <w:wordWrap/>
        <w:overflowPunct/>
        <w:topLinePunct w:val="0"/>
        <w:autoSpaceDE/>
        <w:autoSpaceDN/>
        <w:bidi w:val="0"/>
        <w:adjustRightInd/>
        <w:snapToGrid w:val="0"/>
        <w:spacing w:line="56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绩效评价标准通常包括计划标准、行业标准、历史标准等，用于对绩效指标完成情况进行比较。本次评价主要采用了计划标准和行业标准。</w:t>
      </w:r>
    </w:p>
    <w:p w14:paraId="6EFFE8CF">
      <w:pPr>
        <w:pStyle w:val="2"/>
        <w:pageBreakBefore w:val="0"/>
        <w:numPr>
          <w:ilvl w:val="0"/>
          <w:numId w:val="0"/>
        </w:numPr>
        <w:kinsoku/>
        <w:wordWrap/>
        <w:overflowPunct/>
        <w:topLinePunct w:val="0"/>
        <w:autoSpaceDE/>
        <w:autoSpaceDN/>
        <w:bidi w:val="0"/>
        <w:adjustRightInd/>
        <w:snapToGrid w:val="0"/>
        <w:spacing w:before="0" w:after="0" w:line="560" w:lineRule="exact"/>
        <w:ind w:firstLine="711" w:firstLineChars="200"/>
        <w:jc w:val="both"/>
        <w:rPr>
          <w:rFonts w:hint="eastAsia" w:ascii="楷体_GB2312" w:hAnsi="楷体_GB2312" w:eastAsia="楷体_GB2312" w:cs="楷体_GB2312"/>
          <w:color w:val="000000"/>
          <w:spacing w:val="17"/>
          <w:sz w:val="32"/>
          <w:szCs w:val="32"/>
          <w:highlight w:val="none"/>
          <w:lang w:val="en-US" w:eastAsia="zh-CN"/>
        </w:rPr>
      </w:pPr>
      <w:r>
        <w:rPr>
          <w:rFonts w:hint="eastAsia" w:ascii="楷体_GB2312" w:hAnsi="楷体_GB2312" w:eastAsia="楷体_GB2312" w:cs="楷体_GB2312"/>
          <w:color w:val="000000"/>
          <w:spacing w:val="17"/>
          <w:sz w:val="32"/>
          <w:szCs w:val="32"/>
          <w:highlight w:val="none"/>
          <w:lang w:val="en-US" w:eastAsia="zh-CN"/>
        </w:rPr>
        <w:t>（三）绩效评价工作过程</w:t>
      </w:r>
    </w:p>
    <w:p w14:paraId="103614E3">
      <w:pPr>
        <w:pageBreakBefore w:val="0"/>
        <w:kinsoku/>
        <w:wordWrap/>
        <w:overflowPunct/>
        <w:topLinePunct w:val="0"/>
        <w:autoSpaceDE/>
        <w:autoSpaceDN/>
        <w:bidi w:val="0"/>
        <w:adjustRightInd/>
        <w:snapToGrid w:val="0"/>
        <w:spacing w:line="56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14:paraId="2F20BAE5">
      <w:pPr>
        <w:pageBreakBefore w:val="0"/>
        <w:kinsoku/>
        <w:wordWrap/>
        <w:overflowPunct/>
        <w:topLinePunct w:val="0"/>
        <w:autoSpaceDE/>
        <w:autoSpaceDN/>
        <w:bidi w:val="0"/>
        <w:adjustRightInd/>
        <w:snapToGrid w:val="0"/>
        <w:spacing w:line="56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14:paraId="1709592F">
      <w:pPr>
        <w:pageBreakBefore w:val="0"/>
        <w:kinsoku/>
        <w:wordWrap/>
        <w:overflowPunct/>
        <w:topLinePunct w:val="0"/>
        <w:autoSpaceDE/>
        <w:autoSpaceDN/>
        <w:bidi w:val="0"/>
        <w:adjustRightInd/>
        <w:snapToGrid w:val="0"/>
        <w:spacing w:line="560" w:lineRule="exact"/>
        <w:ind w:firstLine="641"/>
        <w:rPr>
          <w:highlight w:val="none"/>
        </w:rPr>
      </w:pPr>
      <w:r>
        <w:rPr>
          <w:rFonts w:hint="eastAsia" w:ascii="仿宋_GB2312" w:hAnsi="仿宋_GB2312" w:eastAsia="仿宋_GB2312" w:cs="仿宋_GB2312"/>
          <w:color w:val="000000"/>
          <w:spacing w:val="17"/>
          <w:sz w:val="32"/>
          <w:szCs w:val="32"/>
          <w:highlight w:val="none"/>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14:paraId="3F5452B0">
      <w:pPr>
        <w:pageBreakBefore w:val="0"/>
        <w:numPr>
          <w:ilvl w:val="0"/>
          <w:numId w:val="3"/>
        </w:numPr>
        <w:kinsoku/>
        <w:wordWrap/>
        <w:overflowPunct/>
        <w:topLinePunct w:val="0"/>
        <w:autoSpaceDE/>
        <w:autoSpaceDN/>
        <w:bidi w:val="0"/>
        <w:adjustRightInd/>
        <w:snapToGrid w:val="0"/>
        <w:spacing w:line="560" w:lineRule="exact"/>
        <w:ind w:firstLine="641"/>
        <w:rPr>
          <w:rFonts w:ascii="黑体" w:hAnsi="黑体" w:eastAsia="黑体" w:cs="黑体"/>
          <w:sz w:val="32"/>
          <w:szCs w:val="32"/>
          <w:highlight w:val="none"/>
        </w:rPr>
      </w:pPr>
      <w:r>
        <w:rPr>
          <w:rFonts w:hint="eastAsia" w:ascii="黑体" w:hAnsi="黑体" w:eastAsia="黑体" w:cs="黑体"/>
          <w:sz w:val="32"/>
          <w:szCs w:val="32"/>
          <w:highlight w:val="none"/>
        </w:rPr>
        <w:t>综合评价情况及评价结论（附相关评分表）</w:t>
      </w:r>
    </w:p>
    <w:p w14:paraId="5D698CC2">
      <w:pPr>
        <w:pStyle w:val="2"/>
        <w:pageBreakBefore w:val="0"/>
        <w:widowControl w:val="0"/>
        <w:kinsoku/>
        <w:wordWrap/>
        <w:overflowPunct/>
        <w:topLinePunct w:val="0"/>
        <w:autoSpaceDE/>
        <w:autoSpaceDN/>
        <w:bidi w:val="0"/>
        <w:adjustRightInd/>
        <w:snapToGrid w:val="0"/>
        <w:spacing w:before="0" w:after="0" w:line="560" w:lineRule="exact"/>
        <w:ind w:firstLine="641"/>
        <w:jc w:val="both"/>
        <w:outlineLvl w:val="9"/>
        <w:rPr>
          <w:rFonts w:hint="eastAsia" w:ascii="仿宋_GB2312" w:hAnsi="仿宋_GB2312" w:eastAsia="仿宋_GB2312" w:cs="仿宋_GB2312"/>
          <w:b w:val="0"/>
          <w:bCs w:val="0"/>
          <w:color w:val="000000"/>
          <w:spacing w:val="17"/>
          <w:kern w:val="2"/>
          <w:sz w:val="32"/>
          <w:szCs w:val="32"/>
          <w:highlight w:val="none"/>
          <w:lang w:val="en-US" w:eastAsia="zh-CN" w:bidi="ar-SA"/>
        </w:rPr>
      </w:pPr>
      <w:r>
        <w:rPr>
          <w:rFonts w:hint="eastAsia" w:ascii="仿宋_GB2312" w:hAnsi="仿宋_GB2312" w:eastAsia="仿宋_GB2312" w:cs="仿宋_GB2312"/>
          <w:b w:val="0"/>
          <w:bCs w:val="0"/>
          <w:color w:val="000000"/>
          <w:spacing w:val="17"/>
          <w:kern w:val="2"/>
          <w:sz w:val="32"/>
          <w:szCs w:val="32"/>
          <w:highlight w:val="none"/>
          <w:lang w:val="en-US" w:eastAsia="zh-CN" w:bidi="ar-SA"/>
        </w:rPr>
        <w:t>对【地区精神病人福利机构建设】项目进行客观评价，最终评分结果：总得分为 98.39分，属于“优”。其中，项目决策类指标权重为5分，得分为 5分，得分率为 100%。项目过程类指标权重为5分，得分为4.99 分，得分率为 99%。项目产出类指标权重为50分，得分为48.4分，得分率为96.8%。项目效益类指标权重为40分，得分为40分，得分率为100%。</w:t>
      </w:r>
    </w:p>
    <w:p w14:paraId="041978A5">
      <w:pPr>
        <w:pStyle w:val="2"/>
        <w:pageBreakBefore w:val="0"/>
        <w:kinsoku/>
        <w:wordWrap/>
        <w:overflowPunct/>
        <w:topLinePunct w:val="0"/>
        <w:autoSpaceDE/>
        <w:autoSpaceDN/>
        <w:bidi w:val="0"/>
        <w:adjustRightInd/>
        <w:snapToGrid w:val="0"/>
        <w:spacing w:before="0" w:after="0" w:line="560" w:lineRule="exact"/>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表</w:t>
      </w: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综合评分表</w:t>
      </w:r>
    </w:p>
    <w:p w14:paraId="59B2355C">
      <w:pPr>
        <w:pageBreakBefore w:val="0"/>
        <w:kinsoku/>
        <w:wordWrap/>
        <w:overflowPunct/>
        <w:topLinePunct w:val="0"/>
        <w:autoSpaceDE/>
        <w:autoSpaceDN/>
        <w:bidi w:val="0"/>
        <w:adjustRightInd/>
        <w:snapToGrid w:val="0"/>
        <w:spacing w:line="560" w:lineRule="exact"/>
        <w:rPr>
          <w:highlight w:val="none"/>
        </w:rPr>
      </w:pPr>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1044"/>
        <w:gridCol w:w="1095"/>
        <w:gridCol w:w="960"/>
      </w:tblGrid>
      <w:tr w14:paraId="12D53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36B3B811">
            <w:pPr>
              <w:pageBreakBefore w:val="0"/>
              <w:widowControl/>
              <w:kinsoku/>
              <w:wordWrap/>
              <w:overflowPunct/>
              <w:topLinePunct w:val="0"/>
              <w:autoSpaceDE/>
              <w:autoSpaceDN/>
              <w:bidi w:val="0"/>
              <w:adjustRightInd/>
              <w:snapToGrid w:val="0"/>
              <w:spacing w:line="560" w:lineRule="exac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一级指标</w:t>
            </w:r>
          </w:p>
        </w:tc>
        <w:tc>
          <w:tcPr>
            <w:tcW w:w="990" w:type="dxa"/>
            <w:shd w:val="clear" w:color="auto" w:fill="BFBFBF"/>
            <w:vAlign w:val="center"/>
          </w:tcPr>
          <w:p w14:paraId="676E5811">
            <w:pPr>
              <w:pageBreakBefore w:val="0"/>
              <w:widowControl/>
              <w:kinsoku/>
              <w:wordWrap/>
              <w:overflowPunct/>
              <w:topLinePunct w:val="0"/>
              <w:autoSpaceDE/>
              <w:autoSpaceDN/>
              <w:bidi w:val="0"/>
              <w:adjustRightInd/>
              <w:snapToGrid w:val="0"/>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分值</w:t>
            </w:r>
          </w:p>
        </w:tc>
        <w:tc>
          <w:tcPr>
            <w:tcW w:w="1283" w:type="dxa"/>
            <w:shd w:val="clear" w:color="auto" w:fill="BFBFBF"/>
            <w:vAlign w:val="center"/>
          </w:tcPr>
          <w:p w14:paraId="20AB47CA">
            <w:pPr>
              <w:pageBreakBefore w:val="0"/>
              <w:widowControl/>
              <w:kinsoku/>
              <w:wordWrap/>
              <w:overflowPunct/>
              <w:topLinePunct w:val="0"/>
              <w:autoSpaceDE/>
              <w:autoSpaceDN/>
              <w:bidi w:val="0"/>
              <w:adjustRightInd/>
              <w:snapToGrid w:val="0"/>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二级指标</w:t>
            </w:r>
          </w:p>
        </w:tc>
        <w:tc>
          <w:tcPr>
            <w:tcW w:w="1707" w:type="dxa"/>
            <w:shd w:val="clear" w:color="auto" w:fill="BFBFBF"/>
            <w:vAlign w:val="center"/>
          </w:tcPr>
          <w:p w14:paraId="5835952C">
            <w:pPr>
              <w:pageBreakBefore w:val="0"/>
              <w:widowControl/>
              <w:kinsoku/>
              <w:wordWrap/>
              <w:overflowPunct/>
              <w:topLinePunct w:val="0"/>
              <w:autoSpaceDE/>
              <w:autoSpaceDN/>
              <w:bidi w:val="0"/>
              <w:adjustRightInd/>
              <w:snapToGrid w:val="0"/>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三级指标</w:t>
            </w:r>
          </w:p>
        </w:tc>
        <w:tc>
          <w:tcPr>
            <w:tcW w:w="727" w:type="dxa"/>
            <w:shd w:val="clear" w:color="auto" w:fill="BFBFBF"/>
            <w:vAlign w:val="center"/>
          </w:tcPr>
          <w:p w14:paraId="7688CCE9">
            <w:pPr>
              <w:pageBreakBefore w:val="0"/>
              <w:widowControl/>
              <w:kinsoku/>
              <w:wordWrap/>
              <w:overflowPunct/>
              <w:topLinePunct w:val="0"/>
              <w:autoSpaceDE/>
              <w:autoSpaceDN/>
              <w:bidi w:val="0"/>
              <w:adjustRightInd/>
              <w:snapToGrid w:val="0"/>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权重</w:t>
            </w:r>
          </w:p>
        </w:tc>
        <w:tc>
          <w:tcPr>
            <w:tcW w:w="1044" w:type="dxa"/>
            <w:shd w:val="clear" w:color="auto" w:fill="BFBFBF"/>
            <w:vAlign w:val="center"/>
          </w:tcPr>
          <w:p w14:paraId="34B73105">
            <w:pPr>
              <w:pageBreakBefore w:val="0"/>
              <w:widowControl/>
              <w:tabs>
                <w:tab w:val="left" w:pos="1333"/>
                <w:tab w:val="center" w:pos="3623"/>
              </w:tabs>
              <w:kinsoku/>
              <w:wordWrap/>
              <w:overflowPunct/>
              <w:topLinePunct w:val="0"/>
              <w:autoSpaceDE/>
              <w:autoSpaceDN/>
              <w:bidi w:val="0"/>
              <w:adjustRightInd/>
              <w:snapToGrid w:val="0"/>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目标值</w:t>
            </w:r>
          </w:p>
        </w:tc>
        <w:tc>
          <w:tcPr>
            <w:tcW w:w="1044" w:type="dxa"/>
            <w:shd w:val="clear" w:color="auto" w:fill="BFBFBF"/>
            <w:vAlign w:val="center"/>
          </w:tcPr>
          <w:p w14:paraId="74611CC9">
            <w:pPr>
              <w:pageBreakBefore w:val="0"/>
              <w:widowControl/>
              <w:tabs>
                <w:tab w:val="left" w:pos="1333"/>
                <w:tab w:val="center" w:pos="3623"/>
              </w:tabs>
              <w:kinsoku/>
              <w:wordWrap/>
              <w:overflowPunct/>
              <w:topLinePunct w:val="0"/>
              <w:autoSpaceDE/>
              <w:autoSpaceDN/>
              <w:bidi w:val="0"/>
              <w:adjustRightInd/>
              <w:snapToGrid w:val="0"/>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业绩值</w:t>
            </w:r>
          </w:p>
        </w:tc>
        <w:tc>
          <w:tcPr>
            <w:tcW w:w="1095" w:type="dxa"/>
            <w:shd w:val="clear" w:color="auto" w:fill="BFBFBF"/>
            <w:vAlign w:val="center"/>
          </w:tcPr>
          <w:p w14:paraId="7DA90AC8">
            <w:pPr>
              <w:pageBreakBefore w:val="0"/>
              <w:widowControl/>
              <w:tabs>
                <w:tab w:val="left" w:pos="1333"/>
                <w:tab w:val="center" w:pos="3623"/>
              </w:tabs>
              <w:kinsoku/>
              <w:wordWrap/>
              <w:overflowPunct/>
              <w:topLinePunct w:val="0"/>
              <w:autoSpaceDE/>
              <w:autoSpaceDN/>
              <w:bidi w:val="0"/>
              <w:adjustRightInd/>
              <w:snapToGrid w:val="0"/>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得分率</w:t>
            </w:r>
          </w:p>
        </w:tc>
        <w:tc>
          <w:tcPr>
            <w:tcW w:w="960" w:type="dxa"/>
            <w:shd w:val="clear" w:color="auto" w:fill="BFBFBF"/>
            <w:vAlign w:val="center"/>
          </w:tcPr>
          <w:p w14:paraId="501FC309">
            <w:pPr>
              <w:pageBreakBefore w:val="0"/>
              <w:widowControl/>
              <w:tabs>
                <w:tab w:val="left" w:pos="1333"/>
                <w:tab w:val="center" w:pos="3623"/>
              </w:tabs>
              <w:kinsoku/>
              <w:wordWrap/>
              <w:overflowPunct/>
              <w:topLinePunct w:val="0"/>
              <w:autoSpaceDE/>
              <w:autoSpaceDN/>
              <w:bidi w:val="0"/>
              <w:adjustRightInd/>
              <w:snapToGrid w:val="0"/>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w:t>
            </w:r>
          </w:p>
        </w:tc>
      </w:tr>
      <w:tr w14:paraId="512AE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64E948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决策　</w:t>
            </w:r>
          </w:p>
          <w:p w14:paraId="0A14FC7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14:paraId="40A328E2">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14:paraId="7E516F2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14:paraId="4344235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5分</w:t>
            </w:r>
          </w:p>
        </w:tc>
        <w:tc>
          <w:tcPr>
            <w:tcW w:w="1283" w:type="dxa"/>
            <w:vMerge w:val="restart"/>
            <w:shd w:val="clear" w:color="auto" w:fill="FFFFFF"/>
            <w:vAlign w:val="center"/>
          </w:tcPr>
          <w:p w14:paraId="2A9B2A1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项目立项　</w:t>
            </w:r>
          </w:p>
        </w:tc>
        <w:tc>
          <w:tcPr>
            <w:tcW w:w="1707" w:type="dxa"/>
            <w:shd w:val="clear" w:color="auto" w:fill="FFFFFF"/>
            <w:vAlign w:val="center"/>
          </w:tcPr>
          <w:p w14:paraId="28D9561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立项依据</w:t>
            </w:r>
          </w:p>
          <w:p w14:paraId="01B60C5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充分性</w:t>
            </w:r>
          </w:p>
        </w:tc>
        <w:tc>
          <w:tcPr>
            <w:tcW w:w="727" w:type="dxa"/>
            <w:shd w:val="clear" w:color="auto" w:fill="FFFFFF"/>
            <w:vAlign w:val="center"/>
          </w:tcPr>
          <w:p w14:paraId="318B932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044" w:type="dxa"/>
            <w:shd w:val="clear" w:color="auto" w:fill="FFFFFF"/>
            <w:vAlign w:val="center"/>
          </w:tcPr>
          <w:p w14:paraId="4681A49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auto" w:fill="FFFFFF"/>
            <w:vAlign w:val="center"/>
          </w:tcPr>
          <w:p w14:paraId="4717B6ED">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auto" w:fill="FFFFFF"/>
            <w:vAlign w:val="center"/>
          </w:tcPr>
          <w:p w14:paraId="34AC73D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14:paraId="43F091D9">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0.5</w:t>
            </w:r>
          </w:p>
        </w:tc>
      </w:tr>
      <w:tr w14:paraId="5E87ED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5B5BA93">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16F3396C">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14:paraId="12D9BE1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14:paraId="0AEE2954">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立项程序</w:t>
            </w:r>
          </w:p>
          <w:p w14:paraId="5BFA8E9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规范性</w:t>
            </w:r>
          </w:p>
        </w:tc>
        <w:tc>
          <w:tcPr>
            <w:tcW w:w="727" w:type="dxa"/>
            <w:shd w:val="clear" w:color="auto" w:fill="FFFFFF"/>
            <w:vAlign w:val="center"/>
          </w:tcPr>
          <w:p w14:paraId="3A4D43E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044" w:type="dxa"/>
            <w:shd w:val="clear" w:color="auto" w:fill="FFFFFF"/>
            <w:vAlign w:val="center"/>
          </w:tcPr>
          <w:p w14:paraId="4A68CB6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auto" w:fill="FFFFFF"/>
            <w:vAlign w:val="center"/>
          </w:tcPr>
          <w:p w14:paraId="4E133BA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auto" w:fill="FFFFFF"/>
            <w:vAlign w:val="center"/>
          </w:tcPr>
          <w:p w14:paraId="330B282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14:paraId="41E1BA00">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0.5</w:t>
            </w:r>
          </w:p>
        </w:tc>
      </w:tr>
      <w:tr w14:paraId="2817A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CD3AF6B">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79937CB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vMerge w:val="restart"/>
            <w:shd w:val="clear" w:color="auto" w:fill="FFFFFF"/>
            <w:vAlign w:val="center"/>
          </w:tcPr>
          <w:p w14:paraId="1F392D3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　</w:t>
            </w:r>
          </w:p>
        </w:tc>
        <w:tc>
          <w:tcPr>
            <w:tcW w:w="1707" w:type="dxa"/>
            <w:shd w:val="clear" w:color="auto" w:fill="FFFFFF"/>
            <w:vAlign w:val="center"/>
          </w:tcPr>
          <w:p w14:paraId="29D1F37D">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w:t>
            </w:r>
          </w:p>
          <w:p w14:paraId="29222AE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000000" w:fill="FFFFFF"/>
            <w:vAlign w:val="center"/>
          </w:tcPr>
          <w:p w14:paraId="16C3771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404248A2">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44B9394B">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2F89113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6173364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w:t>
            </w:r>
          </w:p>
        </w:tc>
      </w:tr>
      <w:tr w14:paraId="4EF80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5ABCD27">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0E14CFCB">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14:paraId="427FF9CC">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14:paraId="68CC674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绩效指标</w:t>
            </w:r>
          </w:p>
          <w:p w14:paraId="3C09F93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明确性</w:t>
            </w:r>
          </w:p>
        </w:tc>
        <w:tc>
          <w:tcPr>
            <w:tcW w:w="727" w:type="dxa"/>
            <w:shd w:val="clear" w:color="000000" w:fill="FFFFFF"/>
            <w:vAlign w:val="center"/>
          </w:tcPr>
          <w:p w14:paraId="1A1F3E2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49E666BB">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55B0C692">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29E9B975">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2A05DC1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w:t>
            </w:r>
          </w:p>
        </w:tc>
      </w:tr>
      <w:tr w14:paraId="4A21C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1CBFD7F">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23850C0B">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vMerge w:val="restart"/>
            <w:shd w:val="clear" w:color="auto" w:fill="FFFFFF"/>
            <w:vAlign w:val="center"/>
          </w:tcPr>
          <w:p w14:paraId="05B1817B">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资金投入</w:t>
            </w:r>
          </w:p>
        </w:tc>
        <w:tc>
          <w:tcPr>
            <w:tcW w:w="1707" w:type="dxa"/>
            <w:shd w:val="clear" w:color="auto" w:fill="FFFFFF"/>
            <w:vAlign w:val="center"/>
          </w:tcPr>
          <w:p w14:paraId="05CE48A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预算编制</w:t>
            </w:r>
          </w:p>
          <w:p w14:paraId="6631FFB4">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科学性</w:t>
            </w:r>
          </w:p>
        </w:tc>
        <w:tc>
          <w:tcPr>
            <w:tcW w:w="727" w:type="dxa"/>
            <w:shd w:val="clear" w:color="auto" w:fill="FFFFFF"/>
            <w:vAlign w:val="center"/>
          </w:tcPr>
          <w:p w14:paraId="3CC772EB">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14:paraId="4B146F4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auto" w:fill="FFFFFF"/>
            <w:vAlign w:val="center"/>
          </w:tcPr>
          <w:p w14:paraId="1C711096">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auto" w:fill="FFFFFF"/>
            <w:vAlign w:val="center"/>
          </w:tcPr>
          <w:p w14:paraId="3FE5CEE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14:paraId="2909580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w:t>
            </w:r>
          </w:p>
        </w:tc>
      </w:tr>
      <w:tr w14:paraId="0598B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AA0734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37E3D4B0">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14:paraId="3588942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14:paraId="2404CD79">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资金分配</w:t>
            </w:r>
          </w:p>
          <w:p w14:paraId="7D0AB084">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auto" w:fill="FFFFFF"/>
            <w:vAlign w:val="center"/>
          </w:tcPr>
          <w:p w14:paraId="50B91FCC">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14:paraId="1AC07F54">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auto" w:fill="FFFFFF"/>
            <w:vAlign w:val="center"/>
          </w:tcPr>
          <w:p w14:paraId="5DDEB75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auto" w:fill="FFFFFF"/>
            <w:vAlign w:val="center"/>
          </w:tcPr>
          <w:p w14:paraId="3810DDB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14:paraId="0121837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w:t>
            </w:r>
          </w:p>
        </w:tc>
      </w:tr>
      <w:tr w14:paraId="2DECF9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5F3FDFD">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过程</w:t>
            </w:r>
          </w:p>
          <w:p w14:paraId="18DD4C4C">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14:paraId="1EF6473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5分</w:t>
            </w:r>
          </w:p>
        </w:tc>
        <w:tc>
          <w:tcPr>
            <w:tcW w:w="1283" w:type="dxa"/>
            <w:vMerge w:val="restart"/>
            <w:shd w:val="clear" w:color="auto" w:fill="FFFFFF"/>
            <w:vAlign w:val="center"/>
          </w:tcPr>
          <w:p w14:paraId="60A284D2">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14:paraId="5CC247D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资金到位率</w:t>
            </w:r>
          </w:p>
        </w:tc>
        <w:tc>
          <w:tcPr>
            <w:tcW w:w="727" w:type="dxa"/>
            <w:shd w:val="clear" w:color="000000" w:fill="FFFFFF"/>
            <w:vAlign w:val="center"/>
          </w:tcPr>
          <w:p w14:paraId="515D7755">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6667F682">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5E1DFA79">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4A949E20">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20B8285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w:t>
            </w:r>
          </w:p>
        </w:tc>
      </w:tr>
      <w:tr w14:paraId="0432D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400D031">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49EF2ECE">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14:paraId="5C250C79">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14:paraId="40E1495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预算执行率</w:t>
            </w:r>
          </w:p>
        </w:tc>
        <w:tc>
          <w:tcPr>
            <w:tcW w:w="727" w:type="dxa"/>
            <w:shd w:val="clear" w:color="auto" w:fill="FFFFFF"/>
            <w:vAlign w:val="center"/>
          </w:tcPr>
          <w:p w14:paraId="58616A0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14:paraId="7424E65C">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=99%</w:t>
            </w:r>
          </w:p>
        </w:tc>
        <w:tc>
          <w:tcPr>
            <w:tcW w:w="1044" w:type="dxa"/>
            <w:shd w:val="clear" w:color="auto" w:fill="FFFFFF"/>
            <w:vAlign w:val="center"/>
          </w:tcPr>
          <w:p w14:paraId="54135D22">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=99%</w:t>
            </w:r>
          </w:p>
        </w:tc>
        <w:tc>
          <w:tcPr>
            <w:tcW w:w="1095" w:type="dxa"/>
            <w:shd w:val="clear" w:color="auto" w:fill="FFFFFF"/>
            <w:vAlign w:val="center"/>
          </w:tcPr>
          <w:p w14:paraId="1E344ECB">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99%</w:t>
            </w:r>
          </w:p>
        </w:tc>
        <w:tc>
          <w:tcPr>
            <w:tcW w:w="960" w:type="dxa"/>
            <w:shd w:val="clear" w:color="auto" w:fill="FFFFFF"/>
            <w:vAlign w:val="center"/>
          </w:tcPr>
          <w:p w14:paraId="2FE85FD5">
            <w:pPr>
              <w:pageBreakBefore w:val="0"/>
              <w:widowControl/>
              <w:kinsoku/>
              <w:wordWrap/>
              <w:overflowPunct/>
              <w:topLinePunct w:val="0"/>
              <w:autoSpaceDE/>
              <w:autoSpaceDN/>
              <w:bidi w:val="0"/>
              <w:adjustRightInd/>
              <w:snapToGrid w:val="0"/>
              <w:spacing w:line="560" w:lineRule="exact"/>
              <w:jc w:val="center"/>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0.99</w:t>
            </w:r>
          </w:p>
        </w:tc>
      </w:tr>
      <w:tr w14:paraId="2B86D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B88E000">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4F7A3759">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14:paraId="6F095CA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14:paraId="257C827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资金使用</w:t>
            </w:r>
          </w:p>
          <w:p w14:paraId="236549B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合规性</w:t>
            </w:r>
          </w:p>
        </w:tc>
        <w:tc>
          <w:tcPr>
            <w:tcW w:w="727" w:type="dxa"/>
            <w:shd w:val="clear" w:color="000000" w:fill="FFFFFF"/>
            <w:vAlign w:val="center"/>
          </w:tcPr>
          <w:p w14:paraId="047362B5">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00D17D17">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69C2D13D">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457613C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1FBB55B2">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w:t>
            </w:r>
          </w:p>
        </w:tc>
      </w:tr>
      <w:tr w14:paraId="37B39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AA948B6">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6D73A11C">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vMerge w:val="restart"/>
            <w:shd w:val="clear" w:color="auto" w:fill="FFFFFF"/>
            <w:vAlign w:val="center"/>
          </w:tcPr>
          <w:p w14:paraId="22608A9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组织实施</w:t>
            </w:r>
          </w:p>
        </w:tc>
        <w:tc>
          <w:tcPr>
            <w:tcW w:w="1707" w:type="dxa"/>
            <w:shd w:val="clear" w:color="auto" w:fill="FFFFFF"/>
            <w:vAlign w:val="center"/>
          </w:tcPr>
          <w:p w14:paraId="4B63804D">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管理制度</w:t>
            </w:r>
          </w:p>
          <w:p w14:paraId="0206308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健全性</w:t>
            </w:r>
          </w:p>
        </w:tc>
        <w:tc>
          <w:tcPr>
            <w:tcW w:w="727" w:type="dxa"/>
            <w:shd w:val="clear" w:color="000000" w:fill="FFFFFF"/>
            <w:vAlign w:val="center"/>
          </w:tcPr>
          <w:p w14:paraId="4D5CBFB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73C87C82">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4CCEF48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0FADF61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02D3E7C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w:t>
            </w:r>
          </w:p>
        </w:tc>
      </w:tr>
      <w:tr w14:paraId="30046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A36440D">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0513DFB6">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14:paraId="3B132196">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14:paraId="42CE7C2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制度执行</w:t>
            </w:r>
          </w:p>
          <w:p w14:paraId="652DAA6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有效性</w:t>
            </w:r>
          </w:p>
        </w:tc>
        <w:tc>
          <w:tcPr>
            <w:tcW w:w="727" w:type="dxa"/>
            <w:shd w:val="clear" w:color="000000" w:fill="FFFFFF"/>
            <w:vAlign w:val="center"/>
          </w:tcPr>
          <w:p w14:paraId="39DCF0A4">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0D739A3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1E6F4622">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1E02644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62555A6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w:t>
            </w:r>
          </w:p>
        </w:tc>
      </w:tr>
      <w:tr w14:paraId="7D9703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4A3996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w:t>
            </w:r>
          </w:p>
        </w:tc>
        <w:tc>
          <w:tcPr>
            <w:tcW w:w="990" w:type="dxa"/>
            <w:vMerge w:val="restart"/>
            <w:shd w:val="clear" w:color="auto" w:fill="FFFFFF"/>
            <w:vAlign w:val="center"/>
          </w:tcPr>
          <w:p w14:paraId="713A7D55">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50分</w:t>
            </w:r>
          </w:p>
        </w:tc>
        <w:tc>
          <w:tcPr>
            <w:tcW w:w="1283" w:type="dxa"/>
            <w:shd w:val="clear" w:color="auto" w:fill="FFFFFF"/>
            <w:vAlign w:val="center"/>
          </w:tcPr>
          <w:p w14:paraId="019F104D">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产出数量</w:t>
            </w:r>
          </w:p>
        </w:tc>
        <w:tc>
          <w:tcPr>
            <w:tcW w:w="1707" w:type="dxa"/>
            <w:shd w:val="clear" w:color="auto" w:fill="FFFFFF"/>
            <w:vAlign w:val="center"/>
          </w:tcPr>
          <w:p w14:paraId="7815BAF0">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实际完成率</w:t>
            </w:r>
          </w:p>
        </w:tc>
        <w:tc>
          <w:tcPr>
            <w:tcW w:w="727" w:type="dxa"/>
            <w:shd w:val="clear" w:color="000000" w:fill="FFFFFF"/>
            <w:vAlign w:val="center"/>
          </w:tcPr>
          <w:p w14:paraId="5306D945">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1044" w:type="dxa"/>
            <w:shd w:val="clear" w:color="000000" w:fill="FFFFFF"/>
            <w:vAlign w:val="center"/>
          </w:tcPr>
          <w:p w14:paraId="017BACA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02474596">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43E46706">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6CB303E9">
            <w:pPr>
              <w:pageBreakBefore w:val="0"/>
              <w:widowControl/>
              <w:kinsoku/>
              <w:wordWrap/>
              <w:overflowPunct/>
              <w:topLinePunct w:val="0"/>
              <w:autoSpaceDE/>
              <w:autoSpaceDN/>
              <w:bidi w:val="0"/>
              <w:adjustRightInd/>
              <w:snapToGrid w:val="0"/>
              <w:spacing w:line="560" w:lineRule="exact"/>
              <w:jc w:val="center"/>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15</w:t>
            </w:r>
          </w:p>
        </w:tc>
      </w:tr>
      <w:tr w14:paraId="46557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C2D749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7E069AAB">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14:paraId="0A0E0C0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产出质量</w:t>
            </w:r>
          </w:p>
        </w:tc>
        <w:tc>
          <w:tcPr>
            <w:tcW w:w="1707" w:type="dxa"/>
            <w:shd w:val="clear" w:color="auto" w:fill="FFFFFF"/>
            <w:vAlign w:val="center"/>
          </w:tcPr>
          <w:p w14:paraId="05589A47">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质量达标率</w:t>
            </w:r>
          </w:p>
        </w:tc>
        <w:tc>
          <w:tcPr>
            <w:tcW w:w="727" w:type="dxa"/>
            <w:shd w:val="clear" w:color="000000" w:fill="FFFFFF"/>
            <w:vAlign w:val="center"/>
          </w:tcPr>
          <w:p w14:paraId="45A7CB0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14:paraId="338834A9">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4AF4ABE6">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06451BFC">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0AFDD36F">
            <w:pPr>
              <w:pageBreakBefore w:val="0"/>
              <w:widowControl/>
              <w:kinsoku/>
              <w:wordWrap/>
              <w:overflowPunct/>
              <w:topLinePunct w:val="0"/>
              <w:autoSpaceDE/>
              <w:autoSpaceDN/>
              <w:bidi w:val="0"/>
              <w:adjustRightInd/>
              <w:snapToGrid w:val="0"/>
              <w:spacing w:line="560" w:lineRule="exact"/>
              <w:jc w:val="center"/>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10</w:t>
            </w:r>
          </w:p>
        </w:tc>
      </w:tr>
      <w:tr w14:paraId="422F4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F2BBC0A">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7C1104EA">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14:paraId="63DCA2C3">
            <w:pPr>
              <w:pageBreakBefore w:val="0"/>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产出时效</w:t>
            </w:r>
          </w:p>
        </w:tc>
        <w:tc>
          <w:tcPr>
            <w:tcW w:w="1707" w:type="dxa"/>
            <w:shd w:val="clear" w:color="auto" w:fill="FFFFFF"/>
            <w:vAlign w:val="center"/>
          </w:tcPr>
          <w:p w14:paraId="42C6FBE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完成及时性</w:t>
            </w:r>
          </w:p>
        </w:tc>
        <w:tc>
          <w:tcPr>
            <w:tcW w:w="727" w:type="dxa"/>
            <w:shd w:val="clear" w:color="000000" w:fill="FFFFFF"/>
            <w:vAlign w:val="center"/>
          </w:tcPr>
          <w:p w14:paraId="5160250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1044" w:type="dxa"/>
            <w:shd w:val="clear" w:color="000000" w:fill="FFFFFF"/>
            <w:vAlign w:val="center"/>
          </w:tcPr>
          <w:p w14:paraId="23A3725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388032E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5E53679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715FAD31">
            <w:pPr>
              <w:pageBreakBefore w:val="0"/>
              <w:widowControl/>
              <w:kinsoku/>
              <w:wordWrap/>
              <w:overflowPunct/>
              <w:topLinePunct w:val="0"/>
              <w:autoSpaceDE/>
              <w:autoSpaceDN/>
              <w:bidi w:val="0"/>
              <w:adjustRightInd/>
              <w:snapToGrid w:val="0"/>
              <w:spacing w:line="560" w:lineRule="exact"/>
              <w:jc w:val="center"/>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15</w:t>
            </w:r>
          </w:p>
        </w:tc>
      </w:tr>
      <w:tr w14:paraId="0C5BE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073FF5B">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197CBB6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14:paraId="32562D2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产出成本</w:t>
            </w:r>
          </w:p>
        </w:tc>
        <w:tc>
          <w:tcPr>
            <w:tcW w:w="1707" w:type="dxa"/>
            <w:shd w:val="clear" w:color="auto" w:fill="FFFFFF"/>
            <w:vAlign w:val="center"/>
          </w:tcPr>
          <w:p w14:paraId="22DE7A60">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成本节约率</w:t>
            </w:r>
          </w:p>
        </w:tc>
        <w:tc>
          <w:tcPr>
            <w:tcW w:w="727" w:type="dxa"/>
            <w:shd w:val="clear" w:color="000000" w:fill="FFFFFF"/>
            <w:vAlign w:val="center"/>
          </w:tcPr>
          <w:p w14:paraId="139EA3D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14:paraId="4E717E9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3B2D522C">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=84%</w:t>
            </w:r>
          </w:p>
        </w:tc>
        <w:tc>
          <w:tcPr>
            <w:tcW w:w="1095" w:type="dxa"/>
            <w:shd w:val="clear" w:color="000000" w:fill="FFFFFF"/>
            <w:vAlign w:val="center"/>
          </w:tcPr>
          <w:p w14:paraId="0DBA46C8">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84%</w:t>
            </w:r>
          </w:p>
        </w:tc>
        <w:tc>
          <w:tcPr>
            <w:tcW w:w="960" w:type="dxa"/>
            <w:shd w:val="clear" w:color="000000" w:fill="FFFFFF"/>
            <w:vAlign w:val="center"/>
          </w:tcPr>
          <w:p w14:paraId="77596B41">
            <w:pPr>
              <w:pageBreakBefore w:val="0"/>
              <w:widowControl/>
              <w:kinsoku/>
              <w:wordWrap/>
              <w:overflowPunct/>
              <w:topLinePunct w:val="0"/>
              <w:autoSpaceDE/>
              <w:autoSpaceDN/>
              <w:bidi w:val="0"/>
              <w:adjustRightInd/>
              <w:snapToGrid w:val="0"/>
              <w:spacing w:line="560" w:lineRule="exact"/>
              <w:jc w:val="center"/>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8.4</w:t>
            </w:r>
          </w:p>
        </w:tc>
      </w:tr>
      <w:tr w14:paraId="7C1CA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575F8CE">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效益　</w:t>
            </w:r>
          </w:p>
        </w:tc>
        <w:tc>
          <w:tcPr>
            <w:tcW w:w="990" w:type="dxa"/>
            <w:vMerge w:val="restart"/>
            <w:shd w:val="clear" w:color="auto" w:fill="FFFFFF"/>
            <w:vAlign w:val="center"/>
          </w:tcPr>
          <w:p w14:paraId="00BFFDC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40分</w:t>
            </w:r>
          </w:p>
        </w:tc>
        <w:tc>
          <w:tcPr>
            <w:tcW w:w="1283" w:type="dxa"/>
            <w:vMerge w:val="restart"/>
            <w:shd w:val="clear" w:color="auto" w:fill="FFFFFF"/>
            <w:vAlign w:val="center"/>
          </w:tcPr>
          <w:p w14:paraId="1023A281">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项目效益　</w:t>
            </w:r>
          </w:p>
        </w:tc>
        <w:tc>
          <w:tcPr>
            <w:tcW w:w="1707" w:type="dxa"/>
            <w:shd w:val="clear" w:color="auto" w:fill="FFFFFF"/>
            <w:vAlign w:val="center"/>
          </w:tcPr>
          <w:p w14:paraId="26F17217">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实施效益</w:t>
            </w:r>
          </w:p>
          <w:p w14:paraId="15824916">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（社会效益、经济效益、可持续效益）</w:t>
            </w:r>
          </w:p>
        </w:tc>
        <w:tc>
          <w:tcPr>
            <w:tcW w:w="727" w:type="dxa"/>
            <w:shd w:val="clear" w:color="auto" w:fill="FFFFFF"/>
            <w:vAlign w:val="center"/>
          </w:tcPr>
          <w:p w14:paraId="0318106F">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30</w:t>
            </w:r>
          </w:p>
        </w:tc>
        <w:tc>
          <w:tcPr>
            <w:tcW w:w="1044" w:type="dxa"/>
            <w:shd w:val="clear" w:color="auto" w:fill="FFFFFF"/>
            <w:vAlign w:val="center"/>
          </w:tcPr>
          <w:p w14:paraId="6C9BBDF6">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eastAsia="zh-CN"/>
              </w:rPr>
              <w:t>有所提升</w:t>
            </w:r>
          </w:p>
        </w:tc>
        <w:tc>
          <w:tcPr>
            <w:tcW w:w="1044" w:type="dxa"/>
            <w:shd w:val="clear" w:color="auto" w:fill="FFFFFF"/>
            <w:vAlign w:val="center"/>
          </w:tcPr>
          <w:p w14:paraId="4E06F475">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eastAsia="zh-CN"/>
              </w:rPr>
              <w:t>有所提升</w:t>
            </w:r>
          </w:p>
        </w:tc>
        <w:tc>
          <w:tcPr>
            <w:tcW w:w="1095" w:type="dxa"/>
            <w:shd w:val="clear" w:color="auto" w:fill="FFFFFF"/>
            <w:vAlign w:val="center"/>
          </w:tcPr>
          <w:p w14:paraId="112CE46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14:paraId="06FADA49">
            <w:pPr>
              <w:pageBreakBefore w:val="0"/>
              <w:widowControl/>
              <w:kinsoku/>
              <w:wordWrap/>
              <w:overflowPunct/>
              <w:topLinePunct w:val="0"/>
              <w:autoSpaceDE/>
              <w:autoSpaceDN/>
              <w:bidi w:val="0"/>
              <w:adjustRightInd/>
              <w:snapToGrid w:val="0"/>
              <w:spacing w:line="560" w:lineRule="exact"/>
              <w:jc w:val="center"/>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30</w:t>
            </w:r>
          </w:p>
        </w:tc>
      </w:tr>
      <w:tr w14:paraId="708A36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3AB8332">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14:paraId="56A958EA">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14:paraId="6FD3F97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14:paraId="07055606">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满意度</w:t>
            </w:r>
          </w:p>
        </w:tc>
        <w:tc>
          <w:tcPr>
            <w:tcW w:w="727" w:type="dxa"/>
            <w:shd w:val="clear" w:color="000000" w:fill="FFFFFF"/>
            <w:vAlign w:val="center"/>
          </w:tcPr>
          <w:p w14:paraId="23858983">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14:paraId="6A9F3603">
            <w:pPr>
              <w:pageBreakBefore w:val="0"/>
              <w:widowControl/>
              <w:kinsoku/>
              <w:wordWrap/>
              <w:overflowPunct/>
              <w:topLinePunct w:val="0"/>
              <w:autoSpaceDE/>
              <w:autoSpaceDN/>
              <w:bidi w:val="0"/>
              <w:adjustRightInd/>
              <w:snapToGrid w:val="0"/>
              <w:spacing w:line="560" w:lineRule="exact"/>
              <w:jc w:val="center"/>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100%</w:t>
            </w:r>
          </w:p>
        </w:tc>
        <w:tc>
          <w:tcPr>
            <w:tcW w:w="1044" w:type="dxa"/>
            <w:shd w:val="clear" w:color="000000" w:fill="FFFFFF"/>
            <w:vAlign w:val="center"/>
          </w:tcPr>
          <w:p w14:paraId="13C657F0">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095" w:type="dxa"/>
            <w:shd w:val="clear" w:color="000000" w:fill="FFFFFF"/>
            <w:vAlign w:val="center"/>
          </w:tcPr>
          <w:p w14:paraId="03346D5D">
            <w:pPr>
              <w:pageBreakBefore w:val="0"/>
              <w:widowControl/>
              <w:kinsoku/>
              <w:wordWrap/>
              <w:overflowPunct/>
              <w:topLinePunct w:val="0"/>
              <w:autoSpaceDE/>
              <w:autoSpaceDN/>
              <w:bidi w:val="0"/>
              <w:adjustRightInd/>
              <w:snapToGrid w:val="0"/>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30B4AC79">
            <w:pPr>
              <w:pageBreakBefore w:val="0"/>
              <w:widowControl/>
              <w:kinsoku/>
              <w:wordWrap/>
              <w:overflowPunct/>
              <w:topLinePunct w:val="0"/>
              <w:autoSpaceDE/>
              <w:autoSpaceDN/>
              <w:bidi w:val="0"/>
              <w:adjustRightInd/>
              <w:snapToGrid w:val="0"/>
              <w:spacing w:line="560" w:lineRule="exact"/>
              <w:jc w:val="center"/>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10</w:t>
            </w:r>
          </w:p>
        </w:tc>
      </w:tr>
    </w:tbl>
    <w:p w14:paraId="6C0205E2">
      <w:pPr>
        <w:pageBreakBefore w:val="0"/>
        <w:kinsoku/>
        <w:wordWrap/>
        <w:overflowPunct/>
        <w:topLinePunct w:val="0"/>
        <w:autoSpaceDE/>
        <w:autoSpaceDN/>
        <w:bidi w:val="0"/>
        <w:adjustRightInd/>
        <w:snapToGrid w:val="0"/>
        <w:spacing w:line="560" w:lineRule="exact"/>
        <w:ind w:firstLine="320" w:firstLineChars="100"/>
        <w:rPr>
          <w:rFonts w:ascii="黑体" w:hAnsi="黑体" w:eastAsia="黑体"/>
          <w:sz w:val="32"/>
          <w:szCs w:val="32"/>
          <w:highlight w:val="none"/>
        </w:rPr>
      </w:pPr>
      <w:r>
        <w:rPr>
          <w:rFonts w:hint="eastAsia" w:ascii="黑体" w:hAnsi="黑体" w:eastAsia="黑体"/>
          <w:sz w:val="32"/>
          <w:szCs w:val="32"/>
          <w:highlight w:val="none"/>
        </w:rPr>
        <w:t>四、绩效评价指标分析</w:t>
      </w:r>
    </w:p>
    <w:p w14:paraId="3E8BF3F7">
      <w:pPr>
        <w:pStyle w:val="2"/>
        <w:pageBreakBefore w:val="0"/>
        <w:kinsoku/>
        <w:wordWrap/>
        <w:overflowPunct/>
        <w:topLinePunct w:val="0"/>
        <w:autoSpaceDE/>
        <w:autoSpaceDN/>
        <w:bidi w:val="0"/>
        <w:adjustRightInd/>
        <w:snapToGrid w:val="0"/>
        <w:spacing w:before="0" w:after="0" w:line="560" w:lineRule="exact"/>
        <w:ind w:firstLine="321" w:firstLineChars="100"/>
        <w:jc w:val="both"/>
        <w:rPr>
          <w:rFonts w:hint="eastAsia" w:ascii="楷体_GB2312" w:hAnsi="楷体_GB2312" w:eastAsia="楷体_GB2312" w:cs="楷体_GB2312"/>
          <w:highlight w:val="none"/>
        </w:rPr>
      </w:pPr>
      <w:r>
        <w:rPr>
          <w:rFonts w:hint="eastAsia" w:ascii="楷体_GB2312" w:hAnsi="楷体_GB2312" w:eastAsia="楷体_GB2312" w:cs="楷体_GB2312"/>
          <w:highlight w:val="none"/>
        </w:rPr>
        <w:t>（一）项目决策情况</w:t>
      </w:r>
    </w:p>
    <w:p w14:paraId="5FAFD70D">
      <w:pPr>
        <w:pageBreakBefore w:val="0"/>
        <w:kinsoku/>
        <w:wordWrap/>
        <w:overflowPunct/>
        <w:topLinePunct w:val="0"/>
        <w:autoSpaceDE/>
        <w:autoSpaceDN/>
        <w:bidi w:val="0"/>
        <w:adjustRightInd/>
        <w:snapToGrid w:val="0"/>
        <w:spacing w:line="560" w:lineRule="exact"/>
        <w:ind w:firstLine="640"/>
        <w:rPr>
          <w:rStyle w:val="53"/>
          <w:rFonts w:hint="eastAsia"/>
          <w:color w:val="auto"/>
          <w:highlight w:val="none"/>
          <w:lang w:val="en-US" w:eastAsia="zh-CN"/>
        </w:rPr>
      </w:pPr>
      <w:r>
        <w:rPr>
          <w:rStyle w:val="53"/>
          <w:rFonts w:hint="eastAsia"/>
          <w:color w:val="auto"/>
          <w:highlight w:val="none"/>
          <w:lang w:val="en-US" w:eastAsia="zh-CN"/>
        </w:rPr>
        <w:t>项目决策指标从立项依据充分性、立项程序、绩效目标、绩效指标、预算编制、资金分配合理性6个方面对项目立项是否符合法律法规、相关政策、发展规划以及部门职责，用以反映和考核项目立项依据情况进行考察，立项依据充分性分值0.5分，实际得分0.5分，得分率100%；立项程序分值1分，实际得分1分，得分率100%；绩效目标分值1分，实际得分1分，得分率100%；绩效指标分值1分，实际得分1分，得分率100%；预算编制分值1分，实际得分1分，得分率100%；资金分配合理性分值1分，实际得分1分，得分率100%。</w:t>
      </w:r>
    </w:p>
    <w:p w14:paraId="03F05540">
      <w:pPr>
        <w:pageBreakBefore w:val="0"/>
        <w:kinsoku/>
        <w:wordWrap/>
        <w:overflowPunct/>
        <w:topLinePunct w:val="0"/>
        <w:autoSpaceDE/>
        <w:autoSpaceDN/>
        <w:bidi w:val="0"/>
        <w:adjustRightInd/>
        <w:snapToGrid w:val="0"/>
        <w:spacing w:line="560" w:lineRule="exact"/>
        <w:ind w:firstLine="1929" w:firstLineChars="603"/>
        <w:rPr>
          <w:rStyle w:val="53"/>
          <w:rFonts w:hint="eastAsia"/>
          <w:color w:val="auto"/>
          <w:highlight w:val="none"/>
          <w:lang w:val="en-US" w:eastAsia="zh-CN"/>
        </w:rPr>
      </w:pPr>
      <w:r>
        <w:rPr>
          <w:rStyle w:val="53"/>
          <w:rFonts w:hint="eastAsia"/>
          <w:color w:val="auto"/>
          <w:highlight w:val="none"/>
          <w:lang w:val="en-US" w:eastAsia="zh-CN"/>
        </w:rPr>
        <w:t>项目决策指标得分情况如表所示</w:t>
      </w:r>
    </w:p>
    <w:tbl>
      <w:tblPr>
        <w:tblStyle w:val="22"/>
        <w:tblW w:w="8569" w:type="dxa"/>
        <w:tblInd w:w="0" w:type="dxa"/>
        <w:tblLayout w:type="fixed"/>
        <w:tblCellMar>
          <w:top w:w="0" w:type="dxa"/>
          <w:left w:w="0" w:type="dxa"/>
          <w:bottom w:w="0" w:type="dxa"/>
          <w:right w:w="0" w:type="dxa"/>
        </w:tblCellMar>
      </w:tblPr>
      <w:tblGrid>
        <w:gridCol w:w="2141"/>
        <w:gridCol w:w="2142"/>
        <w:gridCol w:w="2142"/>
        <w:gridCol w:w="2144"/>
      </w:tblGrid>
      <w:tr w14:paraId="0F28F1BC">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59061A">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6D85EC">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E68E19">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E81629">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实际得分</w:t>
            </w:r>
          </w:p>
        </w:tc>
      </w:tr>
      <w:tr w14:paraId="701EF3E6">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14:paraId="4F924703">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立项依据充分性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CD9DCD9">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0</w:t>
            </w:r>
            <w:r>
              <w:rPr>
                <w:rFonts w:hint="eastAsia" w:ascii="仿宋_GB2312" w:hAnsi="仿宋_GB2312" w:eastAsia="仿宋_GB2312" w:cs="仿宋_GB2312"/>
                <w:color w:val="000000"/>
                <w:kern w:val="0"/>
                <w:sz w:val="28"/>
                <w:szCs w:val="28"/>
                <w:highlight w:val="none"/>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FAF5AC4">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2572697">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0</w:t>
            </w:r>
            <w:r>
              <w:rPr>
                <w:rFonts w:hint="eastAsia" w:ascii="仿宋_GB2312" w:hAnsi="仿宋_GB2312" w:eastAsia="仿宋_GB2312" w:cs="仿宋_GB2312"/>
                <w:color w:val="000000"/>
                <w:kern w:val="0"/>
                <w:sz w:val="28"/>
                <w:szCs w:val="28"/>
                <w:highlight w:val="none"/>
              </w:rPr>
              <w:t>.5</w:t>
            </w:r>
          </w:p>
        </w:tc>
      </w:tr>
      <w:tr w14:paraId="47B917A7">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80685F5">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立项程序</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5EAA8F0">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0</w:t>
            </w:r>
            <w:r>
              <w:rPr>
                <w:rFonts w:hint="eastAsia" w:ascii="仿宋_GB2312" w:hAnsi="仿宋_GB2312" w:eastAsia="仿宋_GB2312" w:cs="仿宋_GB2312"/>
                <w:color w:val="000000"/>
                <w:kern w:val="0"/>
                <w:sz w:val="28"/>
                <w:szCs w:val="28"/>
                <w:highlight w:val="none"/>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C5B4E7D">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EC5EC86">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0</w:t>
            </w:r>
            <w:r>
              <w:rPr>
                <w:rFonts w:hint="eastAsia" w:ascii="仿宋_GB2312" w:hAnsi="仿宋_GB2312" w:eastAsia="仿宋_GB2312" w:cs="仿宋_GB2312"/>
                <w:color w:val="000000"/>
                <w:kern w:val="0"/>
                <w:sz w:val="28"/>
                <w:szCs w:val="28"/>
                <w:highlight w:val="none"/>
              </w:rPr>
              <w:t>.5</w:t>
            </w:r>
          </w:p>
        </w:tc>
      </w:tr>
      <w:tr w14:paraId="3B678E55">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F9F2FCD">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绩效目标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46F9673">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3868183">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3F61AA8">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14:paraId="3BB4936F">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F309EFB">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绩效指标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A6ADD30">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9DFA06C">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3CC1973">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14:paraId="71ECA863">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3F32B12">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预算编制</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4AA5FD4">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A61B08C">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A40D218">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14:paraId="0F72F2FB">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AF34392">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F7592D3">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81A8CD8">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67FE9F3">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14:paraId="5F2F63D4">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D285689">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0887C01">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CA5EA80">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90F3E3D">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5</w:t>
            </w:r>
          </w:p>
        </w:tc>
      </w:tr>
    </w:tbl>
    <w:p w14:paraId="4B25EBF2">
      <w:pPr>
        <w:pageBreakBefore w:val="0"/>
        <w:kinsoku/>
        <w:wordWrap/>
        <w:overflowPunct/>
        <w:topLinePunct w:val="0"/>
        <w:autoSpaceDE/>
        <w:autoSpaceDN/>
        <w:bidi w:val="0"/>
        <w:adjustRightInd/>
        <w:snapToGrid w:val="0"/>
        <w:spacing w:line="560" w:lineRule="exact"/>
        <w:ind w:firstLine="640" w:firstLineChars="200"/>
        <w:rPr>
          <w:rStyle w:val="53"/>
          <w:rFonts w:hint="eastAsia"/>
          <w:color w:val="auto"/>
          <w:highlight w:val="none"/>
          <w:lang w:val="en-US" w:eastAsia="zh-CN"/>
        </w:rPr>
      </w:pPr>
      <w:r>
        <w:rPr>
          <w:rStyle w:val="53"/>
          <w:rFonts w:hint="eastAsia"/>
          <w:color w:val="auto"/>
          <w:highlight w:val="none"/>
          <w:lang w:val="en-US" w:eastAsia="zh-CN"/>
        </w:rPr>
        <w:t>对于项目决策指标分值5分，实际得分5分，该指标得分率100%，说明立项依据充分性、立项程序、绩效目标、绩效指标、预算编制、资金分配合理性。</w:t>
      </w:r>
    </w:p>
    <w:p w14:paraId="27044F0B">
      <w:pPr>
        <w:pStyle w:val="20"/>
        <w:pageBreakBefore w:val="0"/>
        <w:numPr>
          <w:ilvl w:val="0"/>
          <w:numId w:val="0"/>
        </w:numPr>
        <w:kinsoku/>
        <w:wordWrap/>
        <w:overflowPunct/>
        <w:topLinePunct w:val="0"/>
        <w:autoSpaceDE/>
        <w:autoSpaceDN/>
        <w:bidi w:val="0"/>
        <w:adjustRightInd/>
        <w:snapToGrid w:val="0"/>
        <w:spacing w:after="0" w:line="560" w:lineRule="exact"/>
        <w:ind w:firstLine="643" w:firstLineChars="200"/>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（二）项目过程情况</w:t>
      </w:r>
    </w:p>
    <w:p w14:paraId="58F0BD4A">
      <w:pPr>
        <w:pageBreakBefore w:val="0"/>
        <w:kinsoku/>
        <w:wordWrap/>
        <w:overflowPunct/>
        <w:topLinePunct w:val="0"/>
        <w:autoSpaceDE/>
        <w:autoSpaceDN/>
        <w:bidi w:val="0"/>
        <w:adjustRightInd/>
        <w:snapToGrid w:val="0"/>
        <w:spacing w:line="560" w:lineRule="exact"/>
        <w:ind w:firstLine="640"/>
        <w:rPr>
          <w:rStyle w:val="53"/>
          <w:rFonts w:hint="eastAsia"/>
          <w:color w:val="auto"/>
          <w:highlight w:val="none"/>
          <w:lang w:val="en-US" w:eastAsia="zh-CN"/>
        </w:rPr>
      </w:pPr>
      <w:r>
        <w:rPr>
          <w:rStyle w:val="53"/>
          <w:rFonts w:hint="eastAsia"/>
          <w:color w:val="auto"/>
          <w:highlight w:val="none"/>
          <w:lang w:val="en-US" w:eastAsia="zh-CN"/>
        </w:rPr>
        <w:t>项目过程指标得分情况如表所示。</w:t>
      </w:r>
    </w:p>
    <w:tbl>
      <w:tblPr>
        <w:tblStyle w:val="22"/>
        <w:tblW w:w="8567" w:type="dxa"/>
        <w:tblInd w:w="0" w:type="dxa"/>
        <w:tblLayout w:type="fixed"/>
        <w:tblCellMar>
          <w:top w:w="0" w:type="dxa"/>
          <w:left w:w="0" w:type="dxa"/>
          <w:bottom w:w="0" w:type="dxa"/>
          <w:right w:w="0" w:type="dxa"/>
        </w:tblCellMar>
      </w:tblPr>
      <w:tblGrid>
        <w:gridCol w:w="2424"/>
        <w:gridCol w:w="2016"/>
        <w:gridCol w:w="2016"/>
        <w:gridCol w:w="2111"/>
      </w:tblGrid>
      <w:tr w14:paraId="35C01AAB">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B5807C4">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EDD885">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244B19">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4B36DA">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实际得分</w:t>
            </w:r>
          </w:p>
        </w:tc>
      </w:tr>
      <w:tr w14:paraId="466DFA7D">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C374824">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656FFCF">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7F4D381">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517187">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14:paraId="02D03379">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34D6272">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BE127E8">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CD2C77B">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99</w:t>
            </w:r>
            <w:r>
              <w:rPr>
                <w:rFonts w:hint="eastAsia" w:ascii="仿宋_GB2312" w:hAnsi="仿宋_GB2312" w:eastAsia="仿宋_GB2312" w:cs="仿宋_GB2312"/>
                <w:color w:val="000000"/>
                <w:kern w:val="0"/>
                <w:sz w:val="28"/>
                <w:szCs w:val="28"/>
                <w:highlight w:val="none"/>
              </w:rPr>
              <w:t>%</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FBA62F">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val="en-US"/>
              </w:rPr>
            </w:pPr>
            <w:r>
              <w:rPr>
                <w:rFonts w:hint="eastAsia" w:ascii="仿宋_GB2312" w:hAnsi="仿宋_GB2312" w:eastAsia="仿宋_GB2312" w:cs="仿宋_GB2312"/>
                <w:color w:val="000000"/>
                <w:kern w:val="0"/>
                <w:sz w:val="28"/>
                <w:szCs w:val="28"/>
                <w:highlight w:val="none"/>
                <w:lang w:val="en-US" w:eastAsia="zh-CN"/>
              </w:rPr>
              <w:t>0.99</w:t>
            </w:r>
          </w:p>
        </w:tc>
      </w:tr>
      <w:tr w14:paraId="23F8C77C">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E685BD1">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D41B3B3">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9AA32EB">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F80437">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14:paraId="3D1EC004">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B4BA386">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C0B3929">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37362A9">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346C2A">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14:paraId="4B416629">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1C3D792">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3198394">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3D7615D">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202D3D">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14:paraId="6A792C99">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00037F">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EE66530">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CB6C1F6">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E65913C">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4.99</w:t>
            </w:r>
          </w:p>
        </w:tc>
      </w:tr>
    </w:tbl>
    <w:p w14:paraId="39ED9589">
      <w:pPr>
        <w:pageBreakBefore w:val="0"/>
        <w:kinsoku/>
        <w:wordWrap/>
        <w:overflowPunct/>
        <w:topLinePunct w:val="0"/>
        <w:autoSpaceDE/>
        <w:autoSpaceDN/>
        <w:bidi w:val="0"/>
        <w:adjustRightInd/>
        <w:snapToGrid w:val="0"/>
        <w:spacing w:line="560" w:lineRule="exact"/>
        <w:ind w:firstLine="640"/>
        <w:rPr>
          <w:rStyle w:val="53"/>
          <w:rFonts w:hint="eastAsia"/>
          <w:color w:val="auto"/>
          <w:highlight w:val="none"/>
          <w:lang w:val="en-US" w:eastAsia="zh-CN"/>
        </w:rPr>
      </w:pPr>
      <w:r>
        <w:rPr>
          <w:rStyle w:val="53"/>
          <w:rFonts w:hint="eastAsia"/>
          <w:color w:val="auto"/>
          <w:highlight w:val="none"/>
          <w:lang w:val="en-US" w:eastAsia="zh-CN"/>
        </w:rPr>
        <w:t>依据评分表中项目过程情况描述项目过程指标从资金到位率、预算执行率、资金使用合规性、管理制度健全性、制度执行5个方面对项目的管理情况进行考察，</w:t>
      </w:r>
      <w:r>
        <w:rPr>
          <w:rStyle w:val="53"/>
          <w:rFonts w:hint="eastAsia"/>
          <w:b/>
          <w:bCs/>
          <w:color w:val="auto"/>
          <w:highlight w:val="none"/>
          <w:lang w:val="en-US" w:eastAsia="zh-CN"/>
        </w:rPr>
        <w:t>资金到位率：</w:t>
      </w:r>
      <w:r>
        <w:rPr>
          <w:rStyle w:val="53"/>
          <w:rFonts w:hint="eastAsia"/>
          <w:color w:val="auto"/>
          <w:highlight w:val="none"/>
          <w:lang w:val="en-US" w:eastAsia="zh-CN"/>
        </w:rPr>
        <w:t>资金到位率=（3682万元/3682万元）X100%=100%，指标分值1分，实际得分1分，得分率100%；</w:t>
      </w:r>
      <w:r>
        <w:rPr>
          <w:rStyle w:val="53"/>
          <w:rFonts w:hint="eastAsia"/>
          <w:b/>
          <w:bCs/>
          <w:color w:val="auto"/>
          <w:highlight w:val="none"/>
          <w:lang w:val="en-US" w:eastAsia="zh-CN"/>
        </w:rPr>
        <w:t>预算执行率</w:t>
      </w:r>
      <w:r>
        <w:rPr>
          <w:rStyle w:val="53"/>
          <w:rFonts w:hint="eastAsia"/>
          <w:color w:val="auto"/>
          <w:highlight w:val="none"/>
          <w:lang w:val="en-US" w:eastAsia="zh-CN"/>
        </w:rPr>
        <w:t>=（3654万元/3682万元）X100%=99%，指标分值1分，实际得分0.99分，得分率99%；</w:t>
      </w:r>
      <w:r>
        <w:rPr>
          <w:rStyle w:val="53"/>
          <w:rFonts w:hint="eastAsia"/>
          <w:b/>
          <w:bCs/>
          <w:color w:val="auto"/>
          <w:highlight w:val="none"/>
          <w:lang w:val="en-US" w:eastAsia="zh-CN"/>
        </w:rPr>
        <w:t>资金使用合规性：</w:t>
      </w:r>
      <w:r>
        <w:rPr>
          <w:rStyle w:val="53"/>
          <w:rFonts w:hint="eastAsia"/>
          <w:color w:val="auto"/>
          <w:highlight w:val="none"/>
          <w:lang w:val="en-US" w:eastAsia="zh-CN"/>
        </w:rPr>
        <w:t>1、符合国家财经法规和财务管理制度以及有关专项资金管理办法的规定，得0.25分。2、资金的拨付有完整的审批程序和手续，得0.25分。3、符合项目预算批复或合同规定的用途，得0.25分。4、不存在截留、挤占、挪用、虚列支出等情况，得0.25分。指标分值1分，实际得分1分，得分率100%；</w:t>
      </w:r>
      <w:r>
        <w:rPr>
          <w:rStyle w:val="53"/>
          <w:rFonts w:hint="eastAsia"/>
          <w:b/>
          <w:bCs/>
          <w:color w:val="auto"/>
          <w:highlight w:val="none"/>
          <w:lang w:val="en-US" w:eastAsia="zh-CN"/>
        </w:rPr>
        <w:t>管理制度健全性：</w:t>
      </w:r>
      <w:r>
        <w:rPr>
          <w:rStyle w:val="53"/>
          <w:rFonts w:hint="eastAsia"/>
          <w:color w:val="auto"/>
          <w:highlight w:val="none"/>
          <w:lang w:val="en-US" w:eastAsia="zh-CN"/>
        </w:rPr>
        <w:t>1、己制定或具有相应的财务和业务管理制度，得0.5分。2、财务和业务管理制度合法、合规、完整，得0.5分。指标分值1分，实际得分1分，得分率100%。</w:t>
      </w:r>
      <w:r>
        <w:rPr>
          <w:rStyle w:val="53"/>
          <w:rFonts w:hint="eastAsia"/>
          <w:b/>
          <w:bCs/>
          <w:color w:val="auto"/>
          <w:highlight w:val="none"/>
          <w:lang w:val="en-US" w:eastAsia="zh-CN"/>
        </w:rPr>
        <w:t>制度执行：</w:t>
      </w:r>
      <w:r>
        <w:rPr>
          <w:rStyle w:val="53"/>
          <w:rFonts w:hint="eastAsia"/>
          <w:color w:val="auto"/>
          <w:highlight w:val="none"/>
          <w:lang w:val="en-US" w:eastAsia="zh-CN"/>
        </w:rPr>
        <w:t>1、遵守相关法律法规和相关管理规定，得0.5分。2、项目支出手续完备，得0.25分。3、项目合同书、验收报告等资料齐全并及时归档，得0.25分，指标分值1分，实际得分1分，得分率100%。</w:t>
      </w:r>
    </w:p>
    <w:p w14:paraId="3CDCE3F5">
      <w:pPr>
        <w:pageBreakBefore w:val="0"/>
        <w:kinsoku/>
        <w:wordWrap/>
        <w:overflowPunct/>
        <w:topLinePunct w:val="0"/>
        <w:autoSpaceDE/>
        <w:autoSpaceDN/>
        <w:bidi w:val="0"/>
        <w:adjustRightInd/>
        <w:snapToGrid w:val="0"/>
        <w:spacing w:line="560" w:lineRule="exact"/>
        <w:ind w:firstLine="640"/>
        <w:rPr>
          <w:highlight w:val="none"/>
        </w:rPr>
      </w:pPr>
      <w:r>
        <w:rPr>
          <w:rStyle w:val="53"/>
          <w:rFonts w:hint="eastAsia"/>
          <w:color w:val="auto"/>
          <w:highlight w:val="none"/>
          <w:lang w:val="en-US" w:eastAsia="zh-CN"/>
        </w:rPr>
        <w:t>对于“过程控制”，项目管理、实施人员均落实到位，能按照方案和计划执行；项目无调整，资料齐全；资金使用依据合格，无虚列套取项目支出，无超标准开支，按评分标准，该指标实际得分4.99。</w:t>
      </w:r>
    </w:p>
    <w:p w14:paraId="168D6899">
      <w:pPr>
        <w:pStyle w:val="20"/>
        <w:pageBreakBefore w:val="0"/>
        <w:numPr>
          <w:ilvl w:val="0"/>
          <w:numId w:val="0"/>
        </w:numPr>
        <w:kinsoku/>
        <w:wordWrap/>
        <w:overflowPunct/>
        <w:topLinePunct w:val="0"/>
        <w:autoSpaceDE/>
        <w:autoSpaceDN/>
        <w:bidi w:val="0"/>
        <w:adjustRightInd/>
        <w:snapToGrid w:val="0"/>
        <w:spacing w:after="0" w:line="560" w:lineRule="exact"/>
        <w:ind w:firstLine="321" w:firstLineChars="100"/>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highlight w:val="none"/>
          <w:lang w:val="en-US" w:eastAsia="zh-CN"/>
        </w:rPr>
        <w:t>三</w:t>
      </w: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highlight w:val="none"/>
        </w:rPr>
        <w:t>项目产出</w:t>
      </w:r>
    </w:p>
    <w:p w14:paraId="26EDD7CE">
      <w:pPr>
        <w:pageBreakBefore w:val="0"/>
        <w:kinsoku/>
        <w:wordWrap/>
        <w:overflowPunct/>
        <w:topLinePunct w:val="0"/>
        <w:autoSpaceDE/>
        <w:autoSpaceDN/>
        <w:bidi w:val="0"/>
        <w:adjustRightInd/>
        <w:snapToGrid w:val="0"/>
        <w:spacing w:line="560" w:lineRule="exact"/>
        <w:ind w:firstLine="640"/>
        <w:rPr>
          <w:rStyle w:val="53"/>
          <w:rFonts w:hint="eastAsia"/>
          <w:color w:val="auto"/>
          <w:highlight w:val="none"/>
          <w:lang w:val="en-US" w:eastAsia="zh-CN"/>
        </w:rPr>
      </w:pPr>
      <w:r>
        <w:rPr>
          <w:rStyle w:val="24"/>
          <w:rFonts w:hint="eastAsia" w:ascii="仿宋" w:hAnsi="仿宋" w:eastAsia="仿宋" w:cs="仿宋"/>
          <w:b w:val="0"/>
          <w:bCs/>
          <w:spacing w:val="-4"/>
          <w:sz w:val="32"/>
          <w:szCs w:val="32"/>
          <w:highlight w:val="none"/>
        </w:rPr>
        <w:t>产出指标方面：</w:t>
      </w:r>
    </w:p>
    <w:tbl>
      <w:tblPr>
        <w:tblStyle w:val="22"/>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14:paraId="2CC6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7B737928">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三级指标</w:t>
            </w:r>
          </w:p>
        </w:tc>
        <w:tc>
          <w:tcPr>
            <w:tcW w:w="2042" w:type="dxa"/>
            <w:shd w:val="clear" w:color="auto" w:fill="auto"/>
            <w:vAlign w:val="center"/>
          </w:tcPr>
          <w:p w14:paraId="2767954C">
            <w:pPr>
              <w:pageBreakBefore w:val="0"/>
              <w:widowControl/>
              <w:kinsoku/>
              <w:wordWrap/>
              <w:overflowPunct/>
              <w:topLinePunct w:val="0"/>
              <w:autoSpaceDE/>
              <w:autoSpaceDN/>
              <w:bidi w:val="0"/>
              <w:adjustRightInd/>
              <w:snapToGrid w:val="0"/>
              <w:spacing w:line="560" w:lineRule="exact"/>
              <w:ind w:firstLine="560" w:firstLineChars="200"/>
              <w:jc w:val="left"/>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权重</w:t>
            </w:r>
          </w:p>
        </w:tc>
        <w:tc>
          <w:tcPr>
            <w:tcW w:w="2041" w:type="dxa"/>
            <w:shd w:val="clear" w:color="auto" w:fill="auto"/>
            <w:vAlign w:val="center"/>
          </w:tcPr>
          <w:p w14:paraId="2C5F8905">
            <w:pPr>
              <w:pageBreakBefore w:val="0"/>
              <w:widowControl/>
              <w:kinsoku/>
              <w:wordWrap/>
              <w:overflowPunct/>
              <w:topLinePunct w:val="0"/>
              <w:autoSpaceDE/>
              <w:autoSpaceDN/>
              <w:bidi w:val="0"/>
              <w:adjustRightInd/>
              <w:snapToGrid w:val="0"/>
              <w:spacing w:line="560" w:lineRule="exact"/>
              <w:ind w:firstLine="560" w:firstLineChars="200"/>
              <w:jc w:val="left"/>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得分率</w:t>
            </w:r>
          </w:p>
        </w:tc>
        <w:tc>
          <w:tcPr>
            <w:tcW w:w="2042" w:type="dxa"/>
            <w:shd w:val="clear" w:color="auto" w:fill="auto"/>
            <w:vAlign w:val="center"/>
          </w:tcPr>
          <w:p w14:paraId="07098376">
            <w:pPr>
              <w:pageBreakBefore w:val="0"/>
              <w:widowControl/>
              <w:kinsoku/>
              <w:wordWrap/>
              <w:overflowPunct/>
              <w:topLinePunct w:val="0"/>
              <w:autoSpaceDE/>
              <w:autoSpaceDN/>
              <w:bidi w:val="0"/>
              <w:adjustRightInd/>
              <w:snapToGrid w:val="0"/>
              <w:spacing w:line="560" w:lineRule="exact"/>
              <w:jc w:val="left"/>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实际得分</w:t>
            </w:r>
          </w:p>
        </w:tc>
      </w:tr>
      <w:tr w14:paraId="78A4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1A6C342F">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产出数量</w:t>
            </w:r>
          </w:p>
        </w:tc>
        <w:tc>
          <w:tcPr>
            <w:tcW w:w="2042" w:type="dxa"/>
            <w:shd w:val="clear" w:color="auto" w:fill="auto"/>
            <w:vAlign w:val="center"/>
          </w:tcPr>
          <w:p w14:paraId="6EC7644D">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15</w:t>
            </w:r>
          </w:p>
        </w:tc>
        <w:tc>
          <w:tcPr>
            <w:tcW w:w="2041" w:type="dxa"/>
            <w:shd w:val="clear" w:color="auto" w:fill="auto"/>
            <w:vAlign w:val="center"/>
          </w:tcPr>
          <w:p w14:paraId="5C22B1A2">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042" w:type="dxa"/>
            <w:shd w:val="clear" w:color="auto" w:fill="auto"/>
            <w:vAlign w:val="center"/>
          </w:tcPr>
          <w:p w14:paraId="365AAD67">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15</w:t>
            </w:r>
          </w:p>
        </w:tc>
      </w:tr>
      <w:tr w14:paraId="10F0D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044E5CF3">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产出质量</w:t>
            </w:r>
          </w:p>
        </w:tc>
        <w:tc>
          <w:tcPr>
            <w:tcW w:w="2042" w:type="dxa"/>
            <w:shd w:val="clear" w:color="auto" w:fill="auto"/>
            <w:vAlign w:val="center"/>
          </w:tcPr>
          <w:p w14:paraId="0335EEF2">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10</w:t>
            </w:r>
          </w:p>
        </w:tc>
        <w:tc>
          <w:tcPr>
            <w:tcW w:w="2041" w:type="dxa"/>
            <w:shd w:val="clear" w:color="auto" w:fill="auto"/>
            <w:vAlign w:val="center"/>
          </w:tcPr>
          <w:p w14:paraId="5087B52E">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042" w:type="dxa"/>
            <w:shd w:val="clear" w:color="auto" w:fill="auto"/>
            <w:vAlign w:val="center"/>
          </w:tcPr>
          <w:p w14:paraId="4BEB5E51">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10</w:t>
            </w:r>
          </w:p>
        </w:tc>
      </w:tr>
      <w:tr w14:paraId="1F388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54331360">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产出时效</w:t>
            </w:r>
          </w:p>
        </w:tc>
        <w:tc>
          <w:tcPr>
            <w:tcW w:w="2042" w:type="dxa"/>
            <w:shd w:val="clear" w:color="auto" w:fill="auto"/>
            <w:vAlign w:val="center"/>
          </w:tcPr>
          <w:p w14:paraId="7A63EDB0">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15</w:t>
            </w:r>
          </w:p>
        </w:tc>
        <w:tc>
          <w:tcPr>
            <w:tcW w:w="2041" w:type="dxa"/>
            <w:shd w:val="clear" w:color="auto" w:fill="auto"/>
            <w:vAlign w:val="center"/>
          </w:tcPr>
          <w:p w14:paraId="2D4A316E">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100</w:t>
            </w:r>
            <w:r>
              <w:rPr>
                <w:rFonts w:hint="eastAsia" w:ascii="仿宋_GB2312" w:hAnsi="仿宋_GB2312" w:eastAsia="仿宋_GB2312" w:cs="仿宋_GB2312"/>
                <w:color w:val="000000"/>
                <w:kern w:val="0"/>
                <w:sz w:val="28"/>
                <w:szCs w:val="28"/>
                <w:highlight w:val="none"/>
              </w:rPr>
              <w:t>%</w:t>
            </w:r>
          </w:p>
        </w:tc>
        <w:tc>
          <w:tcPr>
            <w:tcW w:w="2042" w:type="dxa"/>
            <w:shd w:val="clear" w:color="auto" w:fill="auto"/>
            <w:vAlign w:val="center"/>
          </w:tcPr>
          <w:p w14:paraId="2E81FCCD">
            <w:pPr>
              <w:pageBreakBefore w:val="0"/>
              <w:widowControl/>
              <w:kinsoku/>
              <w:wordWrap/>
              <w:overflowPunct/>
              <w:topLinePunct w:val="0"/>
              <w:autoSpaceDE/>
              <w:autoSpaceDN/>
              <w:bidi w:val="0"/>
              <w:adjustRightInd/>
              <w:snapToGrid w:val="0"/>
              <w:spacing w:line="560" w:lineRule="exact"/>
              <w:jc w:val="center"/>
              <w:rPr>
                <w:rFonts w:hint="default" w:ascii="仿宋_GB2312" w:hAnsi="仿宋_GB2312" w:eastAsia="仿宋_GB2312" w:cs="仿宋_GB2312"/>
                <w:color w:val="000000"/>
                <w:kern w:val="0"/>
                <w:sz w:val="28"/>
                <w:szCs w:val="28"/>
                <w:highlight w:val="none"/>
                <w:lang w:val="en-US"/>
              </w:rPr>
            </w:pPr>
            <w:r>
              <w:rPr>
                <w:rFonts w:hint="eastAsia" w:ascii="仿宋_GB2312" w:hAnsi="仿宋_GB2312" w:eastAsia="仿宋_GB2312" w:cs="仿宋_GB2312"/>
                <w:color w:val="000000"/>
                <w:kern w:val="0"/>
                <w:sz w:val="28"/>
                <w:szCs w:val="28"/>
                <w:highlight w:val="none"/>
                <w:lang w:val="en-US" w:eastAsia="zh-CN"/>
              </w:rPr>
              <w:t>15</w:t>
            </w:r>
          </w:p>
        </w:tc>
      </w:tr>
      <w:tr w14:paraId="6580C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63987EAC">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成本情况</w:t>
            </w:r>
          </w:p>
        </w:tc>
        <w:tc>
          <w:tcPr>
            <w:tcW w:w="2042" w:type="dxa"/>
            <w:shd w:val="clear" w:color="auto" w:fill="auto"/>
            <w:vAlign w:val="center"/>
          </w:tcPr>
          <w:p w14:paraId="56D5C358">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10</w:t>
            </w:r>
          </w:p>
        </w:tc>
        <w:tc>
          <w:tcPr>
            <w:tcW w:w="2041" w:type="dxa"/>
            <w:shd w:val="clear" w:color="auto" w:fill="auto"/>
            <w:vAlign w:val="center"/>
          </w:tcPr>
          <w:p w14:paraId="466B0E70">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84</w:t>
            </w:r>
            <w:r>
              <w:rPr>
                <w:rFonts w:hint="eastAsia" w:ascii="仿宋_GB2312" w:hAnsi="仿宋_GB2312" w:eastAsia="仿宋_GB2312" w:cs="仿宋_GB2312"/>
                <w:color w:val="000000"/>
                <w:kern w:val="0"/>
                <w:sz w:val="28"/>
                <w:szCs w:val="28"/>
                <w:highlight w:val="none"/>
              </w:rPr>
              <w:t>%</w:t>
            </w:r>
          </w:p>
        </w:tc>
        <w:tc>
          <w:tcPr>
            <w:tcW w:w="2042" w:type="dxa"/>
            <w:shd w:val="clear" w:color="auto" w:fill="auto"/>
            <w:vAlign w:val="center"/>
          </w:tcPr>
          <w:p w14:paraId="05458662">
            <w:pPr>
              <w:pageBreakBefore w:val="0"/>
              <w:widowControl/>
              <w:kinsoku/>
              <w:wordWrap/>
              <w:overflowPunct/>
              <w:topLinePunct w:val="0"/>
              <w:autoSpaceDE/>
              <w:autoSpaceDN/>
              <w:bidi w:val="0"/>
              <w:adjustRightInd/>
              <w:snapToGrid w:val="0"/>
              <w:spacing w:line="560" w:lineRule="exact"/>
              <w:jc w:val="center"/>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8.4</w:t>
            </w:r>
          </w:p>
        </w:tc>
      </w:tr>
      <w:tr w14:paraId="5A07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7E1B6515">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合计</w:t>
            </w:r>
          </w:p>
        </w:tc>
        <w:tc>
          <w:tcPr>
            <w:tcW w:w="2042" w:type="dxa"/>
            <w:shd w:val="clear" w:color="auto" w:fill="auto"/>
            <w:vAlign w:val="center"/>
          </w:tcPr>
          <w:p w14:paraId="665F5125">
            <w:pPr>
              <w:pageBreakBefore w:val="0"/>
              <w:widowControl/>
              <w:kinsoku/>
              <w:wordWrap/>
              <w:overflowPunct/>
              <w:topLinePunct w:val="0"/>
              <w:autoSpaceDE/>
              <w:autoSpaceDN/>
              <w:bidi w:val="0"/>
              <w:adjustRightInd/>
              <w:snapToGrid w:val="0"/>
              <w:spacing w:line="560" w:lineRule="exact"/>
              <w:ind w:firstLine="560" w:firstLineChars="200"/>
              <w:jc w:val="center"/>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50</w:t>
            </w:r>
          </w:p>
        </w:tc>
        <w:tc>
          <w:tcPr>
            <w:tcW w:w="2041" w:type="dxa"/>
            <w:shd w:val="clear" w:color="auto" w:fill="auto"/>
            <w:vAlign w:val="center"/>
          </w:tcPr>
          <w:p w14:paraId="6D5EB8BB">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96.8</w:t>
            </w:r>
            <w:r>
              <w:rPr>
                <w:rFonts w:hint="eastAsia" w:ascii="仿宋_GB2312" w:hAnsi="仿宋_GB2312" w:eastAsia="仿宋_GB2312" w:cs="仿宋_GB2312"/>
                <w:color w:val="000000"/>
                <w:kern w:val="0"/>
                <w:sz w:val="28"/>
                <w:szCs w:val="28"/>
                <w:highlight w:val="none"/>
              </w:rPr>
              <w:t>%</w:t>
            </w:r>
          </w:p>
        </w:tc>
        <w:tc>
          <w:tcPr>
            <w:tcW w:w="2042" w:type="dxa"/>
            <w:shd w:val="clear" w:color="auto" w:fill="auto"/>
            <w:vAlign w:val="center"/>
          </w:tcPr>
          <w:p w14:paraId="5AA9FC89">
            <w:pPr>
              <w:pageBreakBefore w:val="0"/>
              <w:widowControl/>
              <w:kinsoku/>
              <w:wordWrap/>
              <w:overflowPunct/>
              <w:topLinePunct w:val="0"/>
              <w:autoSpaceDE/>
              <w:autoSpaceDN/>
              <w:bidi w:val="0"/>
              <w:adjustRightInd/>
              <w:snapToGrid w:val="0"/>
              <w:spacing w:line="560" w:lineRule="exact"/>
              <w:jc w:val="center"/>
              <w:rPr>
                <w:rFonts w:hint="default" w:ascii="仿宋_GB2312" w:hAnsi="仿宋_GB2312" w:eastAsia="仿宋_GB2312" w:cs="仿宋_GB2312"/>
                <w:color w:val="000000"/>
                <w:kern w:val="0"/>
                <w:sz w:val="28"/>
                <w:szCs w:val="28"/>
                <w:highlight w:val="none"/>
                <w:lang w:val="en-US"/>
              </w:rPr>
            </w:pPr>
            <w:r>
              <w:rPr>
                <w:rFonts w:hint="eastAsia" w:ascii="仿宋_GB2312" w:hAnsi="仿宋_GB2312" w:eastAsia="仿宋_GB2312" w:cs="仿宋_GB2312"/>
                <w:color w:val="000000"/>
                <w:kern w:val="0"/>
                <w:sz w:val="28"/>
                <w:szCs w:val="28"/>
                <w:highlight w:val="none"/>
                <w:lang w:val="en-US" w:eastAsia="zh-CN"/>
              </w:rPr>
              <w:t>48.4</w:t>
            </w:r>
          </w:p>
        </w:tc>
      </w:tr>
    </w:tbl>
    <w:p w14:paraId="12BBFC35">
      <w:pPr>
        <w:pageBreakBefore w:val="0"/>
        <w:kinsoku/>
        <w:wordWrap/>
        <w:overflowPunct/>
        <w:topLinePunct w:val="0"/>
        <w:autoSpaceDE/>
        <w:autoSpaceDN/>
        <w:bidi w:val="0"/>
        <w:adjustRightInd/>
        <w:snapToGrid w:val="0"/>
        <w:spacing w:line="560" w:lineRule="exact"/>
        <w:ind w:firstLine="640"/>
        <w:rPr>
          <w:rStyle w:val="53"/>
          <w:rFonts w:hint="eastAsia"/>
          <w:color w:val="auto"/>
          <w:highlight w:val="none"/>
          <w:lang w:val="en-US" w:eastAsia="zh-CN"/>
        </w:rPr>
      </w:pPr>
      <w:r>
        <w:rPr>
          <w:rStyle w:val="53"/>
          <w:rFonts w:hint="eastAsia"/>
          <w:color w:val="auto"/>
          <w:highlight w:val="none"/>
          <w:lang w:val="en-US" w:eastAsia="zh-CN"/>
        </w:rPr>
        <w:t>对于“产出数量”，又具体分为2个明细指标进行评价，具体见下表：</w:t>
      </w:r>
    </w:p>
    <w:tbl>
      <w:tblPr>
        <w:tblStyle w:val="22"/>
        <w:tblW w:w="8522" w:type="dxa"/>
        <w:tblInd w:w="0" w:type="dxa"/>
        <w:tblLayout w:type="fixed"/>
        <w:tblCellMar>
          <w:top w:w="0" w:type="dxa"/>
          <w:left w:w="108" w:type="dxa"/>
          <w:bottom w:w="0" w:type="dxa"/>
          <w:right w:w="108" w:type="dxa"/>
        </w:tblCellMar>
      </w:tblPr>
      <w:tblGrid>
        <w:gridCol w:w="3794"/>
        <w:gridCol w:w="1701"/>
        <w:gridCol w:w="1416"/>
        <w:gridCol w:w="1611"/>
      </w:tblGrid>
      <w:tr w14:paraId="23AAE483">
        <w:tblPrEx>
          <w:tblCellMar>
            <w:top w:w="0" w:type="dxa"/>
            <w:left w:w="108" w:type="dxa"/>
            <w:bottom w:w="0" w:type="dxa"/>
            <w:right w:w="108" w:type="dxa"/>
          </w:tblCellMar>
        </w:tblPrEx>
        <w:trPr>
          <w:trHeight w:val="555" w:hRule="atLeast"/>
          <w:tblHeader/>
        </w:trPr>
        <w:tc>
          <w:tcPr>
            <w:tcW w:w="8522" w:type="dxa"/>
            <w:gridSpan w:val="4"/>
            <w:tcBorders>
              <w:top w:val="nil"/>
              <w:left w:val="nil"/>
              <w:bottom w:val="nil"/>
              <w:right w:val="nil"/>
            </w:tcBorders>
            <w:noWrap/>
            <w:vAlign w:val="center"/>
          </w:tcPr>
          <w:p w14:paraId="09D11FC7">
            <w:pPr>
              <w:pageBreakBefore w:val="0"/>
              <w:widowControl/>
              <w:kinsoku/>
              <w:wordWrap/>
              <w:overflowPunct/>
              <w:topLinePunct w:val="0"/>
              <w:autoSpaceDE/>
              <w:autoSpaceDN/>
              <w:bidi w:val="0"/>
              <w:adjustRightInd/>
              <w:snapToGrid w:val="0"/>
              <w:spacing w:line="560" w:lineRule="exact"/>
              <w:jc w:val="center"/>
              <w:rPr>
                <w:rFonts w:ascii="方正仿宋_GBK" w:hAnsi="Tahoma" w:eastAsia="方正仿宋_GBK" w:cs="Tahoma"/>
                <w:color w:val="000000"/>
                <w:kern w:val="0"/>
                <w:sz w:val="28"/>
                <w:szCs w:val="28"/>
                <w:highlight w:val="none"/>
              </w:rPr>
            </w:pPr>
            <w:r>
              <w:rPr>
                <w:rFonts w:hint="eastAsia" w:ascii="仿宋_GB2312" w:hAnsi="仿宋_GB2312" w:eastAsia="仿宋_GB2312" w:cs="仿宋_GB2312"/>
                <w:color w:val="000000"/>
                <w:kern w:val="0"/>
                <w:sz w:val="32"/>
                <w:szCs w:val="32"/>
                <w:highlight w:val="none"/>
              </w:rPr>
              <w:t>项目产出数量指标得分情况</w:t>
            </w:r>
          </w:p>
        </w:tc>
      </w:tr>
      <w:tr w14:paraId="51F5442B">
        <w:tblPrEx>
          <w:tblCellMar>
            <w:top w:w="0" w:type="dxa"/>
            <w:left w:w="108" w:type="dxa"/>
            <w:bottom w:w="0" w:type="dxa"/>
            <w:right w:w="108" w:type="dxa"/>
          </w:tblCellMar>
        </w:tblPrEx>
        <w:trPr>
          <w:trHeight w:val="510" w:hRule="exact"/>
        </w:trPr>
        <w:tc>
          <w:tcPr>
            <w:tcW w:w="3794" w:type="dxa"/>
            <w:tcBorders>
              <w:top w:val="single" w:color="auto" w:sz="4" w:space="0"/>
              <w:left w:val="single" w:color="auto" w:sz="4" w:space="0"/>
              <w:bottom w:val="single" w:color="auto" w:sz="4" w:space="0"/>
              <w:right w:val="single" w:color="auto" w:sz="4" w:space="0"/>
            </w:tcBorders>
            <w:vAlign w:val="center"/>
          </w:tcPr>
          <w:p w14:paraId="41EE706D">
            <w:pPr>
              <w:pageBreakBefore w:val="0"/>
              <w:widowControl/>
              <w:kinsoku/>
              <w:wordWrap/>
              <w:overflowPunct/>
              <w:topLinePunct w:val="0"/>
              <w:autoSpaceDE/>
              <w:autoSpaceDN/>
              <w:bidi w:val="0"/>
              <w:adjustRightInd/>
              <w:snapToGrid w:val="0"/>
              <w:spacing w:line="560" w:lineRule="exact"/>
              <w:ind w:firstLine="640" w:firstLineChars="200"/>
              <w:jc w:val="center"/>
              <w:textAlignment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三级指标</w:t>
            </w:r>
          </w:p>
        </w:tc>
        <w:tc>
          <w:tcPr>
            <w:tcW w:w="1701" w:type="dxa"/>
            <w:tcBorders>
              <w:top w:val="single" w:color="auto" w:sz="4" w:space="0"/>
              <w:left w:val="nil"/>
              <w:bottom w:val="single" w:color="auto" w:sz="4" w:space="0"/>
              <w:right w:val="single" w:color="auto" w:sz="4" w:space="0"/>
            </w:tcBorders>
            <w:noWrap/>
            <w:vAlign w:val="center"/>
          </w:tcPr>
          <w:p w14:paraId="09D6A9F9">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rPr>
              <w:t>权重</w:t>
            </w:r>
          </w:p>
        </w:tc>
        <w:tc>
          <w:tcPr>
            <w:tcW w:w="1416" w:type="dxa"/>
            <w:tcBorders>
              <w:top w:val="single" w:color="auto" w:sz="4" w:space="0"/>
              <w:left w:val="nil"/>
              <w:bottom w:val="single" w:color="auto" w:sz="4" w:space="0"/>
              <w:right w:val="single" w:color="auto" w:sz="4" w:space="0"/>
            </w:tcBorders>
            <w:vAlign w:val="center"/>
          </w:tcPr>
          <w:p w14:paraId="215C0A42">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得分率</w:t>
            </w:r>
          </w:p>
        </w:tc>
        <w:tc>
          <w:tcPr>
            <w:tcW w:w="1611" w:type="dxa"/>
            <w:tcBorders>
              <w:top w:val="single" w:color="auto" w:sz="4" w:space="0"/>
              <w:left w:val="nil"/>
              <w:bottom w:val="single" w:color="auto" w:sz="4" w:space="0"/>
              <w:right w:val="single" w:color="auto" w:sz="4" w:space="0"/>
            </w:tcBorders>
            <w:noWrap/>
            <w:vAlign w:val="center"/>
          </w:tcPr>
          <w:p w14:paraId="01F31E56">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rPr>
              <w:t>实际得分</w:t>
            </w:r>
          </w:p>
        </w:tc>
      </w:tr>
      <w:tr w14:paraId="363C8F4F">
        <w:tblPrEx>
          <w:tblCellMar>
            <w:top w:w="0" w:type="dxa"/>
            <w:left w:w="108" w:type="dxa"/>
            <w:bottom w:w="0" w:type="dxa"/>
            <w:right w:w="108" w:type="dxa"/>
          </w:tblCellMar>
        </w:tblPrEx>
        <w:trPr>
          <w:trHeight w:val="510" w:hRule="exact"/>
        </w:trPr>
        <w:tc>
          <w:tcPr>
            <w:tcW w:w="3794" w:type="dxa"/>
            <w:tcBorders>
              <w:top w:val="single" w:color="auto" w:sz="4" w:space="0"/>
              <w:left w:val="single" w:color="auto" w:sz="4" w:space="0"/>
              <w:bottom w:val="single" w:color="auto" w:sz="4" w:space="0"/>
              <w:right w:val="single" w:color="auto" w:sz="4" w:space="0"/>
            </w:tcBorders>
            <w:vAlign w:val="center"/>
          </w:tcPr>
          <w:p w14:paraId="1AB6DD75">
            <w:pPr>
              <w:pageBreakBefore w:val="0"/>
              <w:widowControl/>
              <w:kinsoku/>
              <w:wordWrap/>
              <w:overflowPunct/>
              <w:topLinePunct w:val="0"/>
              <w:autoSpaceDE/>
              <w:autoSpaceDN/>
              <w:bidi w:val="0"/>
              <w:adjustRightInd/>
              <w:snapToGrid w:val="0"/>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新建</w:t>
            </w:r>
            <w:r>
              <w:rPr>
                <w:rFonts w:hint="eastAsia" w:ascii="仿宋_GB2312" w:hAnsi="仿宋_GB2312" w:eastAsia="仿宋_GB2312" w:cs="仿宋_GB2312"/>
                <w:color w:val="000000"/>
                <w:kern w:val="0"/>
                <w:sz w:val="32"/>
                <w:szCs w:val="32"/>
                <w:highlight w:val="none"/>
                <w:lang w:val="en-US" w:eastAsia="zh-CN"/>
              </w:rPr>
              <w:t>精神病人福利机构8915</w:t>
            </w:r>
            <w:r>
              <w:rPr>
                <w:rFonts w:hint="eastAsia" w:ascii="仿宋_GB2312" w:hAnsi="仿宋_GB2312" w:eastAsia="仿宋_GB2312" w:cs="仿宋_GB2312"/>
                <w:color w:val="000000"/>
                <w:kern w:val="0"/>
                <w:sz w:val="32"/>
                <w:szCs w:val="32"/>
                <w:highlight w:val="none"/>
              </w:rPr>
              <w:t>㎡</w:t>
            </w:r>
          </w:p>
        </w:tc>
        <w:tc>
          <w:tcPr>
            <w:tcW w:w="1701" w:type="dxa"/>
            <w:tcBorders>
              <w:top w:val="single" w:color="auto" w:sz="4" w:space="0"/>
              <w:left w:val="nil"/>
              <w:bottom w:val="single" w:color="auto" w:sz="4" w:space="0"/>
              <w:right w:val="single" w:color="auto" w:sz="4" w:space="0"/>
            </w:tcBorders>
            <w:noWrap/>
            <w:vAlign w:val="center"/>
          </w:tcPr>
          <w:p w14:paraId="4076EDAB">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c>
          <w:tcPr>
            <w:tcW w:w="1416" w:type="dxa"/>
            <w:tcBorders>
              <w:top w:val="single" w:color="auto" w:sz="4" w:space="0"/>
              <w:left w:val="nil"/>
              <w:bottom w:val="single" w:color="auto" w:sz="4" w:space="0"/>
              <w:right w:val="single" w:color="auto" w:sz="4" w:space="0"/>
            </w:tcBorders>
            <w:vAlign w:val="center"/>
          </w:tcPr>
          <w:p w14:paraId="196155BB">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611" w:type="dxa"/>
            <w:tcBorders>
              <w:top w:val="single" w:color="auto" w:sz="4" w:space="0"/>
              <w:left w:val="nil"/>
              <w:bottom w:val="single" w:color="auto" w:sz="4" w:space="0"/>
              <w:right w:val="single" w:color="auto" w:sz="4" w:space="0"/>
            </w:tcBorders>
            <w:noWrap/>
            <w:vAlign w:val="center"/>
          </w:tcPr>
          <w:p w14:paraId="2515F696">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lang w:val="en-US"/>
              </w:rPr>
            </w:pPr>
            <w:r>
              <w:rPr>
                <w:rFonts w:hint="eastAsia" w:ascii="仿宋_GB2312" w:hAnsi="仿宋_GB2312" w:eastAsia="仿宋_GB2312" w:cs="仿宋_GB2312"/>
                <w:color w:val="000000"/>
                <w:kern w:val="0"/>
                <w:sz w:val="32"/>
                <w:szCs w:val="32"/>
                <w:highlight w:val="none"/>
                <w:lang w:val="en-US" w:eastAsia="zh-CN"/>
              </w:rPr>
              <w:t>10</w:t>
            </w:r>
          </w:p>
        </w:tc>
      </w:tr>
      <w:tr w14:paraId="1D5EC6AC">
        <w:tblPrEx>
          <w:tblCellMar>
            <w:top w:w="0" w:type="dxa"/>
            <w:left w:w="108" w:type="dxa"/>
            <w:bottom w:w="0" w:type="dxa"/>
            <w:right w:w="108" w:type="dxa"/>
          </w:tblCellMar>
        </w:tblPrEx>
        <w:trPr>
          <w:trHeight w:val="550" w:hRule="exact"/>
        </w:trPr>
        <w:tc>
          <w:tcPr>
            <w:tcW w:w="3794" w:type="dxa"/>
            <w:tcBorders>
              <w:top w:val="nil"/>
              <w:left w:val="single" w:color="auto" w:sz="4" w:space="0"/>
              <w:bottom w:val="single" w:color="auto" w:sz="4" w:space="0"/>
              <w:right w:val="single" w:color="auto" w:sz="4" w:space="0"/>
            </w:tcBorders>
            <w:vAlign w:val="center"/>
          </w:tcPr>
          <w:p w14:paraId="0E5D0E4F">
            <w:pPr>
              <w:pageBreakBefore w:val="0"/>
              <w:widowControl/>
              <w:kinsoku/>
              <w:wordWrap/>
              <w:overflowPunct/>
              <w:topLinePunct w:val="0"/>
              <w:autoSpaceDE/>
              <w:autoSpaceDN/>
              <w:bidi w:val="0"/>
              <w:adjustRightInd/>
              <w:snapToGrid w:val="0"/>
              <w:spacing w:line="560" w:lineRule="exact"/>
              <w:ind w:firstLine="640" w:firstLineChars="200"/>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新增床位数</w:t>
            </w:r>
          </w:p>
        </w:tc>
        <w:tc>
          <w:tcPr>
            <w:tcW w:w="1701" w:type="dxa"/>
            <w:tcBorders>
              <w:top w:val="nil"/>
              <w:left w:val="nil"/>
              <w:bottom w:val="single" w:color="auto" w:sz="4" w:space="0"/>
              <w:right w:val="single" w:color="auto" w:sz="4" w:space="0"/>
            </w:tcBorders>
            <w:noWrap/>
            <w:vAlign w:val="center"/>
          </w:tcPr>
          <w:p w14:paraId="67DA893B">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w:t>
            </w:r>
          </w:p>
        </w:tc>
        <w:tc>
          <w:tcPr>
            <w:tcW w:w="1416" w:type="dxa"/>
            <w:tcBorders>
              <w:top w:val="nil"/>
              <w:left w:val="nil"/>
              <w:bottom w:val="single" w:color="auto" w:sz="4" w:space="0"/>
              <w:right w:val="single" w:color="auto" w:sz="4" w:space="0"/>
            </w:tcBorders>
            <w:vAlign w:val="center"/>
          </w:tcPr>
          <w:p w14:paraId="49904F35">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611" w:type="dxa"/>
            <w:tcBorders>
              <w:top w:val="nil"/>
              <w:left w:val="nil"/>
              <w:bottom w:val="single" w:color="auto" w:sz="4" w:space="0"/>
              <w:right w:val="single" w:color="auto" w:sz="4" w:space="0"/>
            </w:tcBorders>
            <w:noWrap/>
            <w:vAlign w:val="center"/>
          </w:tcPr>
          <w:p w14:paraId="40D702DB">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5</w:t>
            </w:r>
          </w:p>
        </w:tc>
      </w:tr>
      <w:tr w14:paraId="13395BF7">
        <w:tblPrEx>
          <w:tblCellMar>
            <w:top w:w="0" w:type="dxa"/>
            <w:left w:w="108" w:type="dxa"/>
            <w:bottom w:w="0" w:type="dxa"/>
            <w:right w:w="108" w:type="dxa"/>
          </w:tblCellMar>
        </w:tblPrEx>
        <w:trPr>
          <w:trHeight w:val="510" w:hRule="exact"/>
        </w:trPr>
        <w:tc>
          <w:tcPr>
            <w:tcW w:w="3794" w:type="dxa"/>
            <w:tcBorders>
              <w:top w:val="nil"/>
              <w:left w:val="single" w:color="auto" w:sz="4" w:space="0"/>
              <w:bottom w:val="single" w:color="auto" w:sz="4" w:space="0"/>
              <w:right w:val="single" w:color="auto" w:sz="4" w:space="0"/>
            </w:tcBorders>
            <w:vAlign w:val="center"/>
          </w:tcPr>
          <w:p w14:paraId="1902150F">
            <w:pPr>
              <w:pageBreakBefore w:val="0"/>
              <w:widowControl/>
              <w:kinsoku/>
              <w:wordWrap/>
              <w:overflowPunct/>
              <w:topLinePunct w:val="0"/>
              <w:autoSpaceDE/>
              <w:autoSpaceDN/>
              <w:bidi w:val="0"/>
              <w:adjustRightInd/>
              <w:snapToGrid w:val="0"/>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  计</w:t>
            </w:r>
          </w:p>
        </w:tc>
        <w:tc>
          <w:tcPr>
            <w:tcW w:w="1701" w:type="dxa"/>
            <w:tcBorders>
              <w:top w:val="nil"/>
              <w:left w:val="nil"/>
              <w:bottom w:val="single" w:color="auto" w:sz="4" w:space="0"/>
              <w:right w:val="single" w:color="auto" w:sz="4" w:space="0"/>
            </w:tcBorders>
            <w:noWrap/>
            <w:vAlign w:val="center"/>
          </w:tcPr>
          <w:p w14:paraId="52B24515">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15</w:t>
            </w:r>
          </w:p>
        </w:tc>
        <w:tc>
          <w:tcPr>
            <w:tcW w:w="1416" w:type="dxa"/>
            <w:tcBorders>
              <w:top w:val="nil"/>
              <w:left w:val="nil"/>
              <w:bottom w:val="single" w:color="auto" w:sz="4" w:space="0"/>
              <w:right w:val="single" w:color="auto" w:sz="4" w:space="0"/>
            </w:tcBorders>
            <w:vAlign w:val="center"/>
          </w:tcPr>
          <w:p w14:paraId="1801BDB1">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611" w:type="dxa"/>
            <w:tcBorders>
              <w:top w:val="nil"/>
              <w:left w:val="nil"/>
              <w:bottom w:val="single" w:color="auto" w:sz="4" w:space="0"/>
              <w:right w:val="single" w:color="auto" w:sz="4" w:space="0"/>
            </w:tcBorders>
            <w:noWrap/>
            <w:vAlign w:val="center"/>
          </w:tcPr>
          <w:p w14:paraId="3D868776">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lang w:val="en-US"/>
              </w:rPr>
            </w:pPr>
            <w:r>
              <w:rPr>
                <w:rFonts w:hint="eastAsia" w:ascii="仿宋_GB2312" w:hAnsi="仿宋_GB2312" w:eastAsia="仿宋_GB2312" w:cs="仿宋_GB2312"/>
                <w:color w:val="000000"/>
                <w:kern w:val="0"/>
                <w:sz w:val="32"/>
                <w:szCs w:val="32"/>
                <w:highlight w:val="none"/>
                <w:lang w:val="en-US" w:eastAsia="zh-CN"/>
              </w:rPr>
              <w:t>15</w:t>
            </w:r>
          </w:p>
        </w:tc>
      </w:tr>
    </w:tbl>
    <w:p w14:paraId="5B64568A">
      <w:pPr>
        <w:pageBreakBefore w:val="0"/>
        <w:kinsoku/>
        <w:wordWrap/>
        <w:overflowPunct/>
        <w:topLinePunct w:val="0"/>
        <w:autoSpaceDE/>
        <w:autoSpaceDN/>
        <w:bidi w:val="0"/>
        <w:adjustRightInd/>
        <w:snapToGrid w:val="0"/>
        <w:spacing w:line="560" w:lineRule="exact"/>
        <w:ind w:firstLine="640"/>
        <w:jc w:val="left"/>
        <w:rPr>
          <w:rStyle w:val="53"/>
          <w:rFonts w:hint="eastAsia"/>
          <w:color w:val="auto"/>
          <w:highlight w:val="none"/>
          <w:lang w:val="en-US" w:eastAsia="zh-CN"/>
        </w:rPr>
      </w:pPr>
      <w:r>
        <w:rPr>
          <w:rStyle w:val="53"/>
          <w:rFonts w:hint="eastAsia"/>
          <w:color w:val="auto"/>
          <w:highlight w:val="none"/>
          <w:lang w:val="en-US" w:eastAsia="zh-CN"/>
        </w:rPr>
        <w:t>对于“产出数量”，塔城地区民政局《精神病人福利机构》项目，完成新建精神病人福利机构面积,</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8915㎡，</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8915㎡</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Style w:val="53"/>
          <w:rFonts w:hint="eastAsia"/>
          <w:color w:val="auto"/>
          <w:highlight w:val="none"/>
          <w:lang w:val="en-US" w:eastAsia="zh-CN"/>
        </w:rPr>
        <w:t>。</w:t>
      </w:r>
    </w:p>
    <w:p w14:paraId="377998C9">
      <w:pPr>
        <w:pageBreakBefore w:val="0"/>
        <w:kinsoku/>
        <w:wordWrap/>
        <w:overflowPunct/>
        <w:topLinePunct w:val="0"/>
        <w:autoSpaceDE/>
        <w:autoSpaceDN/>
        <w:bidi w:val="0"/>
        <w:adjustRightInd/>
        <w:snapToGrid w:val="0"/>
        <w:spacing w:line="560" w:lineRule="exact"/>
        <w:ind w:firstLine="640"/>
        <w:rPr>
          <w:rStyle w:val="53"/>
          <w:rFonts w:hint="eastAsia"/>
          <w:color w:val="auto"/>
          <w:highlight w:val="none"/>
          <w:lang w:val="en-US" w:eastAsia="zh-CN"/>
        </w:rPr>
      </w:pPr>
      <w:r>
        <w:rPr>
          <w:rStyle w:val="53"/>
          <w:rFonts w:hint="eastAsia"/>
          <w:b w:val="0"/>
          <w:bCs w:val="0"/>
          <w:color w:val="auto"/>
          <w:kern w:val="2"/>
          <w:highlight w:val="none"/>
          <w:lang w:val="en-US" w:eastAsia="zh-CN" w:bidi="ar-SA"/>
        </w:rPr>
        <w:t>精神卫生机构新</w:t>
      </w:r>
      <w:r>
        <w:rPr>
          <w:rStyle w:val="53"/>
          <w:rFonts w:hint="eastAsia" w:eastAsia="仿宋_GB2312"/>
          <w:b w:val="0"/>
          <w:bCs w:val="0"/>
          <w:color w:val="auto"/>
          <w:kern w:val="2"/>
          <w:highlight w:val="none"/>
          <w:lang w:val="en-US" w:eastAsia="zh-CN" w:bidi="ar-SA"/>
        </w:rPr>
        <w:t>增</w:t>
      </w:r>
      <w:r>
        <w:rPr>
          <w:rStyle w:val="53"/>
          <w:rFonts w:hint="eastAsia"/>
          <w:b w:val="0"/>
          <w:bCs w:val="0"/>
          <w:color w:val="auto"/>
          <w:kern w:val="2"/>
          <w:highlight w:val="none"/>
          <w:lang w:val="en-US" w:eastAsia="zh-CN" w:bidi="ar-SA"/>
        </w:rPr>
        <w:t>床位数，</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300张，</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300张</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Style w:val="53"/>
          <w:rFonts w:hint="eastAsia"/>
          <w:color w:val="auto"/>
          <w:highlight w:val="none"/>
          <w:lang w:val="en-US" w:eastAsia="zh-CN"/>
        </w:rPr>
        <w:t>。</w:t>
      </w:r>
    </w:p>
    <w:p w14:paraId="7D321123">
      <w:pPr>
        <w:pageBreakBefore w:val="0"/>
        <w:kinsoku/>
        <w:wordWrap/>
        <w:overflowPunct/>
        <w:topLinePunct w:val="0"/>
        <w:autoSpaceDE/>
        <w:autoSpaceDN/>
        <w:bidi w:val="0"/>
        <w:adjustRightInd/>
        <w:snapToGrid w:val="0"/>
        <w:spacing w:line="560" w:lineRule="exact"/>
        <w:ind w:firstLine="640"/>
        <w:rPr>
          <w:rStyle w:val="53"/>
          <w:rFonts w:hint="eastAsia"/>
          <w:color w:val="auto"/>
          <w:highlight w:val="none"/>
          <w:lang w:val="en-US" w:eastAsia="zh-CN"/>
        </w:rPr>
      </w:pPr>
      <w:r>
        <w:rPr>
          <w:rStyle w:val="53"/>
          <w:rFonts w:hint="eastAsia"/>
          <w:color w:val="auto"/>
          <w:highlight w:val="none"/>
          <w:lang w:val="en-US" w:eastAsia="zh-CN"/>
        </w:rPr>
        <w:t>对于“产出质量”，工程验收合格率，</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100%，</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Style w:val="53"/>
          <w:rFonts w:hint="eastAsia"/>
          <w:color w:val="auto"/>
          <w:highlight w:val="none"/>
          <w:lang w:val="en-US" w:eastAsia="zh-CN"/>
        </w:rPr>
        <w:t>。</w:t>
      </w:r>
    </w:p>
    <w:p w14:paraId="2C737A4B">
      <w:pPr>
        <w:pageBreakBefore w:val="0"/>
        <w:kinsoku/>
        <w:wordWrap/>
        <w:overflowPunct/>
        <w:topLinePunct w:val="0"/>
        <w:autoSpaceDE/>
        <w:autoSpaceDN/>
        <w:bidi w:val="0"/>
        <w:adjustRightInd/>
        <w:snapToGrid w:val="0"/>
        <w:spacing w:line="560" w:lineRule="exact"/>
        <w:ind w:firstLine="640"/>
        <w:rPr>
          <w:rStyle w:val="53"/>
          <w:rFonts w:hint="eastAsia"/>
          <w:color w:val="auto"/>
          <w:highlight w:val="none"/>
          <w:lang w:val="en-US" w:eastAsia="zh-CN"/>
        </w:rPr>
      </w:pPr>
      <w:r>
        <w:rPr>
          <w:rStyle w:val="53"/>
          <w:rFonts w:hint="eastAsia"/>
          <w:color w:val="auto"/>
          <w:highlight w:val="none"/>
          <w:lang w:val="en-US" w:eastAsia="zh-CN"/>
        </w:rPr>
        <w:t>对于“产出时效”，工程付款及时率，</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100%，</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Style w:val="53"/>
          <w:rFonts w:hint="eastAsia"/>
          <w:color w:val="auto"/>
          <w:highlight w:val="none"/>
          <w:lang w:val="en-US" w:eastAsia="zh-CN"/>
        </w:rPr>
        <w:t>。</w:t>
      </w:r>
    </w:p>
    <w:p w14:paraId="05F0142D">
      <w:pPr>
        <w:pageBreakBefore w:val="0"/>
        <w:kinsoku/>
        <w:wordWrap/>
        <w:overflowPunct/>
        <w:topLinePunct w:val="0"/>
        <w:autoSpaceDE/>
        <w:autoSpaceDN/>
        <w:bidi w:val="0"/>
        <w:adjustRightInd/>
        <w:snapToGrid w:val="0"/>
        <w:spacing w:line="560" w:lineRule="exact"/>
        <w:ind w:firstLine="640"/>
        <w:rPr>
          <w:rStyle w:val="53"/>
          <w:rFonts w:hint="eastAsia" w:ascii="仿宋" w:hAnsi="仿宋" w:eastAsia="仿宋" w:cs="仿宋"/>
          <w:b w:val="0"/>
          <w:bCs/>
          <w:color w:val="auto"/>
          <w:spacing w:val="-4"/>
          <w:sz w:val="32"/>
          <w:szCs w:val="32"/>
          <w:highlight w:val="none"/>
          <w:lang w:val="en-US" w:eastAsia="zh-CN"/>
        </w:rPr>
      </w:pPr>
      <w:r>
        <w:rPr>
          <w:rStyle w:val="53"/>
          <w:rFonts w:hint="eastAsia"/>
          <w:color w:val="auto"/>
          <w:highlight w:val="none"/>
          <w:lang w:val="en-US" w:eastAsia="zh-CN"/>
        </w:rPr>
        <w:t>对于“成本情况”，工程单位建设成本，</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184万元，</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w:t>
      </w:r>
      <w:r>
        <w:rPr>
          <w:rStyle w:val="53"/>
          <w:rFonts w:hint="eastAsia"/>
          <w:color w:val="auto"/>
          <w:highlight w:val="none"/>
          <w:lang w:val="en-US" w:eastAsia="zh-CN"/>
        </w:rPr>
        <w:t>155万元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84%</w:t>
      </w:r>
      <w:r>
        <w:rPr>
          <w:rStyle w:val="53"/>
          <w:rFonts w:hint="eastAsia"/>
          <w:color w:val="auto"/>
          <w:highlight w:val="none"/>
          <w:lang w:val="en-US" w:eastAsia="zh-CN"/>
        </w:rPr>
        <w:t>。</w:t>
      </w:r>
    </w:p>
    <w:p w14:paraId="16426C64">
      <w:pPr>
        <w:pStyle w:val="20"/>
        <w:pageBreakBefore w:val="0"/>
        <w:numPr>
          <w:ilvl w:val="0"/>
          <w:numId w:val="4"/>
        </w:numPr>
        <w:kinsoku/>
        <w:wordWrap/>
        <w:overflowPunct/>
        <w:topLinePunct w:val="0"/>
        <w:autoSpaceDE/>
        <w:autoSpaceDN/>
        <w:bidi w:val="0"/>
        <w:adjustRightInd/>
        <w:snapToGrid w:val="0"/>
        <w:spacing w:after="0" w:line="560" w:lineRule="exact"/>
        <w:ind w:firstLine="321" w:firstLineChars="100"/>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效益情况</w:t>
      </w:r>
    </w:p>
    <w:p w14:paraId="1DB573F7">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eastAsia"/>
          <w:color w:val="auto"/>
          <w:highlight w:val="none"/>
        </w:rPr>
      </w:pPr>
      <w:r>
        <w:rPr>
          <w:rStyle w:val="53"/>
          <w:rFonts w:hint="eastAsia"/>
          <w:color w:val="auto"/>
          <w:highlight w:val="none"/>
        </w:rPr>
        <w:t>效益方面：项目绩效主要从项目实施效益及满意度2个方面对项目的绩效情况进行评价。项目绩效实施效益类指标分值</w:t>
      </w:r>
      <w:r>
        <w:rPr>
          <w:rStyle w:val="53"/>
          <w:rFonts w:hint="eastAsia" w:eastAsia="仿宋_GB2312"/>
          <w:color w:val="auto"/>
          <w:highlight w:val="none"/>
          <w:lang w:val="en-US" w:eastAsia="zh-CN"/>
        </w:rPr>
        <w:t>40</w:t>
      </w:r>
      <w:r>
        <w:rPr>
          <w:rStyle w:val="53"/>
          <w:rFonts w:hint="eastAsia"/>
          <w:color w:val="auto"/>
          <w:highlight w:val="none"/>
        </w:rPr>
        <w:t>分，实际得分</w:t>
      </w:r>
      <w:r>
        <w:rPr>
          <w:rStyle w:val="53"/>
          <w:rFonts w:hint="eastAsia" w:eastAsia="仿宋_GB2312"/>
          <w:color w:val="auto"/>
          <w:highlight w:val="none"/>
          <w:lang w:val="en-US" w:eastAsia="zh-CN"/>
        </w:rPr>
        <w:t>39</w:t>
      </w:r>
      <w:r>
        <w:rPr>
          <w:rStyle w:val="53"/>
          <w:rFonts w:hint="eastAsia"/>
          <w:color w:val="auto"/>
          <w:highlight w:val="none"/>
        </w:rPr>
        <w:t>分，得分率为</w:t>
      </w:r>
      <w:r>
        <w:rPr>
          <w:rStyle w:val="53"/>
          <w:rFonts w:hint="eastAsia" w:eastAsia="仿宋_GB2312"/>
          <w:color w:val="auto"/>
          <w:highlight w:val="none"/>
          <w:lang w:val="en-US" w:eastAsia="zh-CN"/>
        </w:rPr>
        <w:t>97.5</w:t>
      </w:r>
      <w:r>
        <w:rPr>
          <w:rStyle w:val="53"/>
          <w:rFonts w:hint="eastAsia"/>
          <w:color w:val="auto"/>
          <w:highlight w:val="none"/>
        </w:rPr>
        <w:t>%。</w:t>
      </w:r>
    </w:p>
    <w:p w14:paraId="2348B263">
      <w:pPr>
        <w:pStyle w:val="20"/>
        <w:pageBreakBefore w:val="0"/>
        <w:numPr>
          <w:ilvl w:val="0"/>
          <w:numId w:val="0"/>
        </w:numPr>
        <w:kinsoku/>
        <w:wordWrap/>
        <w:overflowPunct/>
        <w:topLinePunct w:val="0"/>
        <w:autoSpaceDE/>
        <w:autoSpaceDN/>
        <w:bidi w:val="0"/>
        <w:adjustRightInd/>
        <w:snapToGrid w:val="0"/>
        <w:spacing w:after="0" w:line="560" w:lineRule="exact"/>
        <w:ind w:firstLine="1600" w:firstLineChars="500"/>
        <w:rPr>
          <w:rStyle w:val="53"/>
          <w:rFonts w:hint="eastAsia"/>
          <w:color w:val="auto"/>
          <w:highlight w:val="none"/>
        </w:rPr>
      </w:pPr>
      <w:r>
        <w:rPr>
          <w:rStyle w:val="53"/>
          <w:rFonts w:hint="eastAsia"/>
          <w:color w:val="auto"/>
          <w:highlight w:val="none"/>
        </w:rPr>
        <w:t>项目绩效指标得分情况如表所示：</w:t>
      </w:r>
    </w:p>
    <w:tbl>
      <w:tblPr>
        <w:tblStyle w:val="22"/>
        <w:tblpPr w:leftFromText="180" w:rightFromText="180" w:vertAnchor="text" w:horzAnchor="page" w:tblpX="1880" w:tblpY="207"/>
        <w:tblOverlap w:val="never"/>
        <w:tblW w:w="8581" w:type="dxa"/>
        <w:jc w:val="center"/>
        <w:tblLayout w:type="fixed"/>
        <w:tblCellMar>
          <w:top w:w="0" w:type="dxa"/>
          <w:left w:w="0" w:type="dxa"/>
          <w:bottom w:w="0" w:type="dxa"/>
          <w:right w:w="0" w:type="dxa"/>
        </w:tblCellMar>
      </w:tblPr>
      <w:tblGrid>
        <w:gridCol w:w="2452"/>
        <w:gridCol w:w="2043"/>
        <w:gridCol w:w="2043"/>
        <w:gridCol w:w="2043"/>
      </w:tblGrid>
      <w:tr w14:paraId="5D0D7A28">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F45FE2B">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三级指标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D3DF00">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812D60">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979890">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实际得分</w:t>
            </w:r>
          </w:p>
        </w:tc>
      </w:tr>
      <w:tr w14:paraId="59F60C99">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00252B3">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实施效益</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4BF83">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30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6FFB7A8">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8D9D0">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30</w:t>
            </w:r>
          </w:p>
        </w:tc>
      </w:tr>
      <w:tr w14:paraId="2495B075">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44EFA16">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满意度</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841145">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71816C0">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D489BA">
            <w:pPr>
              <w:pageBreakBefore w:val="0"/>
              <w:widowControl/>
              <w:kinsoku/>
              <w:wordWrap/>
              <w:overflowPunct/>
              <w:topLinePunct w:val="0"/>
              <w:autoSpaceDE/>
              <w:autoSpaceDN/>
              <w:bidi w:val="0"/>
              <w:adjustRightInd/>
              <w:snapToGrid w:val="0"/>
              <w:spacing w:line="560" w:lineRule="exact"/>
              <w:jc w:val="center"/>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14:paraId="55EBDAA8">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14:paraId="66EF08AB">
            <w:pPr>
              <w:pageBreakBefore w:val="0"/>
              <w:widowControl/>
              <w:kinsoku/>
              <w:wordWrap/>
              <w:overflowPunct/>
              <w:topLinePunct w:val="0"/>
              <w:autoSpaceDE/>
              <w:autoSpaceDN/>
              <w:bidi w:val="0"/>
              <w:adjustRightInd/>
              <w:snapToGrid w:val="0"/>
              <w:spacing w:line="560" w:lineRule="exact"/>
              <w:jc w:val="center"/>
              <w:textAlignment w:val="bottom"/>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4CC259A7">
            <w:pPr>
              <w:pageBreakBefore w:val="0"/>
              <w:widowControl/>
              <w:kinsoku/>
              <w:wordWrap/>
              <w:overflowPunct/>
              <w:topLinePunct w:val="0"/>
              <w:autoSpaceDE/>
              <w:autoSpaceDN/>
              <w:bidi w:val="0"/>
              <w:adjustRightInd/>
              <w:snapToGrid w:val="0"/>
              <w:spacing w:line="560" w:lineRule="exact"/>
              <w:jc w:val="center"/>
              <w:textAlignment w:val="bottom"/>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2F6A5FF">
            <w:pPr>
              <w:pageBreakBefore w:val="0"/>
              <w:widowControl/>
              <w:kinsoku/>
              <w:wordWrap/>
              <w:overflowPunct/>
              <w:topLinePunct w:val="0"/>
              <w:autoSpaceDE/>
              <w:autoSpaceDN/>
              <w:bidi w:val="0"/>
              <w:adjustRightInd/>
              <w:snapToGrid w:val="0"/>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0A013C47">
            <w:pPr>
              <w:pageBreakBefore w:val="0"/>
              <w:widowControl/>
              <w:kinsoku/>
              <w:wordWrap/>
              <w:overflowPunct/>
              <w:topLinePunct w:val="0"/>
              <w:autoSpaceDE/>
              <w:autoSpaceDN/>
              <w:bidi w:val="0"/>
              <w:adjustRightInd/>
              <w:snapToGrid w:val="0"/>
              <w:spacing w:line="560" w:lineRule="exact"/>
              <w:jc w:val="center"/>
              <w:textAlignment w:val="bottom"/>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r>
    </w:tbl>
    <w:p w14:paraId="1F904EBC">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eastAsia"/>
          <w:color w:val="auto"/>
          <w:highlight w:val="none"/>
          <w:lang w:val="en-US" w:eastAsia="zh-CN"/>
        </w:rPr>
      </w:pPr>
      <w:r>
        <w:rPr>
          <w:rStyle w:val="53"/>
          <w:rFonts w:hint="eastAsia"/>
          <w:color w:val="auto"/>
          <w:highlight w:val="none"/>
          <w:lang w:val="en-US" w:eastAsia="zh-CN"/>
        </w:rPr>
        <w:t>对于“社会效益”，提升精神患者的生活质量，</w:t>
      </w:r>
      <w:r>
        <w:rPr>
          <w:rStyle w:val="53"/>
          <w:rFonts w:hint="eastAsia"/>
          <w:color w:val="auto"/>
          <w:highlight w:val="none"/>
        </w:rPr>
        <w:t>预期指标值</w:t>
      </w:r>
      <w:r>
        <w:rPr>
          <w:rStyle w:val="53"/>
          <w:rFonts w:hint="eastAsia"/>
          <w:color w:val="auto"/>
          <w:highlight w:val="none"/>
          <w:lang w:val="en-US" w:eastAsia="zh-CN"/>
        </w:rPr>
        <w:t>=100%，</w:t>
      </w:r>
      <w:r>
        <w:rPr>
          <w:rStyle w:val="53"/>
          <w:rFonts w:hint="eastAsia"/>
          <w:color w:val="auto"/>
          <w:highlight w:val="none"/>
        </w:rPr>
        <w:t>指标完成值</w:t>
      </w:r>
      <w:r>
        <w:rPr>
          <w:rStyle w:val="53"/>
          <w:rFonts w:hint="eastAsia"/>
          <w:color w:val="auto"/>
          <w:highlight w:val="none"/>
          <w:lang w:val="en-US" w:eastAsia="zh-CN"/>
        </w:rPr>
        <w:t>=90%</w:t>
      </w:r>
      <w:r>
        <w:rPr>
          <w:rStyle w:val="53"/>
          <w:rFonts w:hint="eastAsia"/>
          <w:color w:val="auto"/>
          <w:highlight w:val="none"/>
        </w:rPr>
        <w:t>，指标完成率</w:t>
      </w:r>
      <w:r>
        <w:rPr>
          <w:rStyle w:val="53"/>
          <w:rFonts w:hint="eastAsia"/>
          <w:color w:val="auto"/>
          <w:highlight w:val="none"/>
          <w:lang w:val="en-US" w:eastAsia="zh-CN"/>
        </w:rPr>
        <w:t>=90%。</w:t>
      </w:r>
    </w:p>
    <w:p w14:paraId="1F114BF1">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eastAsia"/>
          <w:color w:val="auto"/>
          <w:highlight w:val="none"/>
          <w:lang w:val="en-US" w:eastAsia="zh-CN"/>
        </w:rPr>
      </w:pPr>
      <w:r>
        <w:rPr>
          <w:rStyle w:val="53"/>
          <w:rFonts w:hint="eastAsia"/>
          <w:color w:val="auto"/>
          <w:highlight w:val="none"/>
          <w:lang w:val="en-US" w:eastAsia="zh-CN"/>
        </w:rPr>
        <w:t>提升救助能力，</w:t>
      </w:r>
      <w:r>
        <w:rPr>
          <w:rStyle w:val="53"/>
          <w:rFonts w:hint="eastAsia"/>
          <w:color w:val="auto"/>
          <w:highlight w:val="none"/>
        </w:rPr>
        <w:t>预期指标值</w:t>
      </w:r>
      <w:r>
        <w:rPr>
          <w:rStyle w:val="53"/>
          <w:rFonts w:hint="eastAsia"/>
          <w:color w:val="auto"/>
          <w:highlight w:val="none"/>
          <w:lang w:val="en-US" w:eastAsia="zh-CN"/>
        </w:rPr>
        <w:t>=90%，</w:t>
      </w:r>
      <w:r>
        <w:rPr>
          <w:rStyle w:val="53"/>
          <w:rFonts w:hint="eastAsia"/>
          <w:color w:val="auto"/>
          <w:highlight w:val="none"/>
        </w:rPr>
        <w:t>指标完成值</w:t>
      </w:r>
      <w:r>
        <w:rPr>
          <w:rStyle w:val="53"/>
          <w:rFonts w:hint="eastAsia"/>
          <w:color w:val="auto"/>
          <w:highlight w:val="none"/>
          <w:lang w:val="en-US" w:eastAsia="zh-CN"/>
        </w:rPr>
        <w:t>=90%</w:t>
      </w:r>
      <w:r>
        <w:rPr>
          <w:rStyle w:val="53"/>
          <w:rFonts w:hint="eastAsia"/>
          <w:color w:val="auto"/>
          <w:highlight w:val="none"/>
        </w:rPr>
        <w:t>，指标完成率</w:t>
      </w:r>
      <w:r>
        <w:rPr>
          <w:rStyle w:val="53"/>
          <w:rFonts w:hint="eastAsia"/>
          <w:color w:val="auto"/>
          <w:highlight w:val="none"/>
          <w:lang w:val="en-US" w:eastAsia="zh-CN"/>
        </w:rPr>
        <w:t>100%。</w:t>
      </w:r>
    </w:p>
    <w:p w14:paraId="50EFE2A9">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eastAsia"/>
          <w:color w:val="auto"/>
          <w:highlight w:val="none"/>
          <w:lang w:val="en-US" w:eastAsia="zh-CN"/>
        </w:rPr>
      </w:pPr>
      <w:r>
        <w:rPr>
          <w:rStyle w:val="53"/>
          <w:rFonts w:hint="eastAsia"/>
          <w:color w:val="auto"/>
          <w:highlight w:val="none"/>
          <w:lang w:val="en-US" w:eastAsia="zh-CN"/>
        </w:rPr>
        <w:t>对于“可持续影响指标”精神病院建成后，建筑使用年限，</w:t>
      </w:r>
      <w:r>
        <w:rPr>
          <w:rStyle w:val="53"/>
          <w:rFonts w:hint="eastAsia"/>
          <w:color w:val="auto"/>
          <w:highlight w:val="none"/>
        </w:rPr>
        <w:t>预期指标值</w:t>
      </w:r>
      <w:r>
        <w:rPr>
          <w:rStyle w:val="53"/>
          <w:rFonts w:hint="eastAsia"/>
          <w:color w:val="auto"/>
          <w:highlight w:val="none"/>
          <w:lang w:val="en-US" w:eastAsia="zh-CN"/>
        </w:rPr>
        <w:t>=50年，</w:t>
      </w:r>
      <w:r>
        <w:rPr>
          <w:rStyle w:val="53"/>
          <w:rFonts w:hint="eastAsia"/>
          <w:color w:val="auto"/>
          <w:highlight w:val="none"/>
        </w:rPr>
        <w:t>指标完成值</w:t>
      </w:r>
      <w:r>
        <w:rPr>
          <w:rStyle w:val="53"/>
          <w:rFonts w:hint="eastAsia"/>
          <w:color w:val="auto"/>
          <w:highlight w:val="none"/>
          <w:lang w:val="en-US" w:eastAsia="zh-CN"/>
        </w:rPr>
        <w:t>=50年</w:t>
      </w:r>
      <w:r>
        <w:rPr>
          <w:rStyle w:val="53"/>
          <w:rFonts w:hint="eastAsia"/>
          <w:color w:val="auto"/>
          <w:highlight w:val="none"/>
        </w:rPr>
        <w:t>，指标完成率</w:t>
      </w:r>
      <w:r>
        <w:rPr>
          <w:rStyle w:val="53"/>
          <w:rFonts w:hint="eastAsia"/>
          <w:color w:val="auto"/>
          <w:highlight w:val="none"/>
          <w:lang w:val="en-US" w:eastAsia="zh-CN"/>
        </w:rPr>
        <w:t>100%。</w:t>
      </w:r>
    </w:p>
    <w:p w14:paraId="132CBD11">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eastAsia"/>
          <w:color w:val="auto"/>
          <w:highlight w:val="none"/>
          <w:lang w:val="en-US" w:eastAsia="zh-CN"/>
        </w:rPr>
      </w:pPr>
      <w:r>
        <w:rPr>
          <w:rStyle w:val="53"/>
          <w:rFonts w:hint="eastAsia"/>
          <w:color w:val="auto"/>
          <w:highlight w:val="none"/>
          <w:lang w:val="en-US" w:eastAsia="zh-CN"/>
        </w:rPr>
        <w:t>对于“服务对象的满意度”根据调查问卷调查结果，收益群众满意率，</w:t>
      </w:r>
      <w:r>
        <w:rPr>
          <w:rStyle w:val="53"/>
          <w:rFonts w:hint="eastAsia"/>
          <w:color w:val="auto"/>
          <w:highlight w:val="none"/>
        </w:rPr>
        <w:t>预期指标值</w:t>
      </w:r>
      <w:r>
        <w:rPr>
          <w:rStyle w:val="53"/>
          <w:rFonts w:hint="eastAsia"/>
          <w:color w:val="auto"/>
          <w:highlight w:val="none"/>
          <w:lang w:val="en-US" w:eastAsia="zh-CN"/>
        </w:rPr>
        <w:t>=100%，</w:t>
      </w:r>
      <w:r>
        <w:rPr>
          <w:rStyle w:val="53"/>
          <w:rFonts w:hint="eastAsia"/>
          <w:color w:val="auto"/>
          <w:highlight w:val="none"/>
        </w:rPr>
        <w:t>指标完成值</w:t>
      </w:r>
      <w:r>
        <w:rPr>
          <w:rStyle w:val="53"/>
          <w:rFonts w:hint="eastAsia"/>
          <w:color w:val="auto"/>
          <w:highlight w:val="none"/>
          <w:lang w:val="en-US" w:eastAsia="zh-CN"/>
        </w:rPr>
        <w:t>=100%</w:t>
      </w:r>
      <w:r>
        <w:rPr>
          <w:rStyle w:val="53"/>
          <w:rFonts w:hint="eastAsia"/>
          <w:color w:val="auto"/>
          <w:highlight w:val="none"/>
        </w:rPr>
        <w:t>，指标完成率</w:t>
      </w:r>
      <w:r>
        <w:rPr>
          <w:rStyle w:val="53"/>
          <w:rFonts w:hint="eastAsia"/>
          <w:color w:val="auto"/>
          <w:highlight w:val="none"/>
          <w:lang w:val="en-US" w:eastAsia="zh-CN"/>
        </w:rPr>
        <w:t>100%。</w:t>
      </w:r>
    </w:p>
    <w:p w14:paraId="3EF00E17">
      <w:pPr>
        <w:pageBreakBefore w:val="0"/>
        <w:kinsoku/>
        <w:wordWrap/>
        <w:overflowPunct/>
        <w:topLinePunct w:val="0"/>
        <w:autoSpaceDE/>
        <w:autoSpaceDN/>
        <w:bidi w:val="0"/>
        <w:adjustRightInd/>
        <w:snapToGrid w:val="0"/>
        <w:spacing w:line="560" w:lineRule="exact"/>
        <w:ind w:firstLine="640" w:firstLineChars="200"/>
        <w:rPr>
          <w:rStyle w:val="53"/>
          <w:color w:val="auto"/>
          <w:highlight w:val="none"/>
        </w:rPr>
      </w:pPr>
      <w:r>
        <w:rPr>
          <w:rFonts w:hint="eastAsia" w:ascii="黑体" w:hAnsi="黑体" w:eastAsia="黑体"/>
          <w:sz w:val="32"/>
          <w:szCs w:val="32"/>
          <w:highlight w:val="none"/>
        </w:rPr>
        <w:t>五、主要经验及做法、存在的问题及原因分析</w:t>
      </w:r>
    </w:p>
    <w:p w14:paraId="166C414F">
      <w:pPr>
        <w:pageBreakBefore w:val="0"/>
        <w:kinsoku/>
        <w:wordWrap/>
        <w:overflowPunct/>
        <w:topLinePunct w:val="0"/>
        <w:autoSpaceDE/>
        <w:autoSpaceDN/>
        <w:bidi w:val="0"/>
        <w:adjustRightInd/>
        <w:snapToGrid w:val="0"/>
        <w:spacing w:line="56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（一）主要经验及做法</w:t>
      </w:r>
    </w:p>
    <w:p w14:paraId="0C7627B4">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eastAsia"/>
          <w:color w:val="auto"/>
          <w:highlight w:val="none"/>
          <w:lang w:val="en-US" w:eastAsia="zh-CN"/>
        </w:rPr>
      </w:pPr>
      <w:r>
        <w:rPr>
          <w:rStyle w:val="53"/>
          <w:rFonts w:hint="eastAsia"/>
          <w:color w:val="auto"/>
          <w:highlight w:val="none"/>
          <w:lang w:val="en-US" w:eastAsia="zh-CN"/>
        </w:rPr>
        <w:t>为确保【地区精神病人福利机构建设】项目顺利进行，提前做好项目规划，将所列计划再三审核。在【地区精神病人福利机构建设】项目实施过程中做好定期监督检查，严格按照项目管理规范进行，在项目资金使用过程中，严格落实把关，按照《新疆维吾尔自治区彩票公益金管理办法》做好审核工作，让项目资金落于实处。【地区精神病人福利机构建设】项目完成后，做好受益群众民意调查及项目防范工作。</w:t>
      </w:r>
    </w:p>
    <w:p w14:paraId="3DC5AE3A">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eastAsia"/>
          <w:color w:val="auto"/>
          <w:highlight w:val="none"/>
          <w:lang w:val="en-US" w:eastAsia="zh-CN"/>
        </w:rPr>
      </w:pPr>
      <w:r>
        <w:rPr>
          <w:rStyle w:val="53"/>
          <w:rFonts w:hint="eastAsia"/>
          <w:color w:val="auto"/>
          <w:highlight w:val="none"/>
          <w:lang w:val="en-US" w:eastAsia="zh-CN"/>
        </w:rPr>
        <w:t>严格坚持先做事、后验收、再拨付的原则，基本杜绝了资金被挤占和挪用现象的发生，跟踪检查到位。财政、纪检、监察等职能部门全面参与【地区精神病人福利机构建设】专项资金事前、事中和事后全过程的监管。在监督环节上，实行关口前移，从事后监督管理转向事前审核，事中监督和事后检查稽核相结合的监督制度上来，形成多环节全过程的监督管理格</w:t>
      </w:r>
    </w:p>
    <w:p w14:paraId="1B8E25D3">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eastAsia"/>
          <w:color w:val="auto"/>
          <w:highlight w:val="none"/>
          <w:lang w:val="en-US" w:eastAsia="zh-CN"/>
        </w:rPr>
      </w:pPr>
      <w:r>
        <w:rPr>
          <w:rStyle w:val="53"/>
          <w:rFonts w:hint="eastAsia"/>
          <w:color w:val="auto"/>
          <w:highlight w:val="none"/>
          <w:lang w:val="en-US" w:eastAsia="zh-CN"/>
        </w:rPr>
        <w:t>局，尽量早发现问题，早解决问题。</w:t>
      </w:r>
    </w:p>
    <w:p w14:paraId="3383FCF1">
      <w:pPr>
        <w:keepNext/>
        <w:keepLines/>
        <w:pageBreakBefore w:val="0"/>
        <w:numPr>
          <w:ilvl w:val="0"/>
          <w:numId w:val="5"/>
        </w:numPr>
        <w:kinsoku/>
        <w:wordWrap/>
        <w:overflowPunct/>
        <w:topLinePunct w:val="0"/>
        <w:autoSpaceDE/>
        <w:autoSpaceDN/>
        <w:bidi w:val="0"/>
        <w:adjustRightInd/>
        <w:snapToGrid w:val="0"/>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存在的问题及原因分析</w:t>
      </w:r>
    </w:p>
    <w:p w14:paraId="1CBCFA45">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eastAsia"/>
          <w:color w:val="auto"/>
          <w:highlight w:val="none"/>
          <w:lang w:val="en-US" w:eastAsia="zh-CN"/>
        </w:rPr>
      </w:pPr>
      <w:r>
        <w:rPr>
          <w:rStyle w:val="53"/>
          <w:rFonts w:hint="eastAsia" w:eastAsia="仿宋_GB2312"/>
          <w:color w:val="auto"/>
          <w:highlight w:val="none"/>
          <w:lang w:val="en-US" w:eastAsia="zh-CN"/>
        </w:rPr>
        <w:t>存在的问题：</w:t>
      </w:r>
      <w:r>
        <w:rPr>
          <w:rStyle w:val="53"/>
          <w:rFonts w:hint="eastAsia"/>
          <w:color w:val="auto"/>
          <w:highlight w:val="none"/>
          <w:lang w:val="en-US" w:eastAsia="zh-CN"/>
        </w:rPr>
        <w:t>一是施工临时大门及临时用房目前还在使用，存在安全隐患，施工方与地区医院还要进一步沟通实施，完成拆除和新建大门任务。二是因疫情关系，封闭管理，还未全面开放，待疫情缓和后开放。</w:t>
      </w:r>
    </w:p>
    <w:p w14:paraId="7A6673A9">
      <w:pPr>
        <w:pStyle w:val="20"/>
        <w:pageBreakBefore w:val="0"/>
        <w:numPr>
          <w:ilvl w:val="0"/>
          <w:numId w:val="0"/>
        </w:numPr>
        <w:kinsoku/>
        <w:wordWrap/>
        <w:overflowPunct/>
        <w:topLinePunct w:val="0"/>
        <w:autoSpaceDE/>
        <w:autoSpaceDN/>
        <w:bidi w:val="0"/>
        <w:adjustRightInd/>
        <w:snapToGrid w:val="0"/>
        <w:spacing w:after="0" w:line="560" w:lineRule="exact"/>
        <w:ind w:firstLine="640" w:firstLineChars="200"/>
        <w:rPr>
          <w:rStyle w:val="53"/>
          <w:rFonts w:hint="default" w:eastAsia="宋体"/>
          <w:color w:val="auto"/>
          <w:highlight w:val="none"/>
          <w:lang w:val="en-US" w:eastAsia="zh-CN"/>
        </w:rPr>
      </w:pPr>
      <w:r>
        <w:rPr>
          <w:rStyle w:val="53"/>
          <w:rFonts w:hint="eastAsia"/>
          <w:color w:val="auto"/>
          <w:highlight w:val="none"/>
          <w:lang w:val="en-US" w:eastAsia="zh-CN"/>
        </w:rPr>
        <w:t>原因分析：</w:t>
      </w:r>
      <w:r>
        <w:rPr>
          <w:rFonts w:hint="eastAsia" w:ascii="Times New Roman" w:hAnsi="Times New Roman" w:eastAsia="仿宋_GB2312" w:cs="Times New Roman"/>
          <w:sz w:val="32"/>
          <w:szCs w:val="32"/>
          <w:highlight w:val="none"/>
          <w:lang w:val="en-US" w:eastAsia="zh-CN"/>
        </w:rPr>
        <w:t>按照目前疫情防控要求，民政社会福利机构属于疫情防控重点部位，继续实行封闭管理。精神病福利机构、大门及临时用房作为</w:t>
      </w:r>
      <w:r>
        <w:rPr>
          <w:rFonts w:hint="eastAsia" w:eastAsia="仿宋_GB2312" w:cs="Times New Roman"/>
          <w:sz w:val="32"/>
          <w:szCs w:val="32"/>
          <w:highlight w:val="none"/>
          <w:lang w:val="en-US" w:eastAsia="zh-CN"/>
        </w:rPr>
        <w:t>新冠肺炎救治定点医院</w:t>
      </w:r>
      <w:r>
        <w:rPr>
          <w:rFonts w:hint="eastAsia" w:ascii="Times New Roman" w:hAnsi="Times New Roman" w:eastAsia="仿宋_GB2312" w:cs="Times New Roman"/>
          <w:sz w:val="32"/>
          <w:szCs w:val="32"/>
          <w:highlight w:val="none"/>
          <w:lang w:val="en-US" w:eastAsia="zh-CN"/>
        </w:rPr>
        <w:t>在使用，待疫情过后拆除大门及临时用房。</w:t>
      </w:r>
    </w:p>
    <w:p w14:paraId="62721D24">
      <w:pPr>
        <w:pageBreakBefore w:val="0"/>
        <w:numPr>
          <w:ilvl w:val="0"/>
          <w:numId w:val="6"/>
        </w:numPr>
        <w:kinsoku/>
        <w:wordWrap/>
        <w:overflowPunct/>
        <w:topLinePunct w:val="0"/>
        <w:autoSpaceDE/>
        <w:autoSpaceDN/>
        <w:bidi w:val="0"/>
        <w:adjustRightInd/>
        <w:snapToGrid w:val="0"/>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有关建议</w:t>
      </w:r>
    </w:p>
    <w:p w14:paraId="67EC7DF2">
      <w:pPr>
        <w:pageBreakBefore w:val="0"/>
        <w:numPr>
          <w:ilvl w:val="0"/>
          <w:numId w:val="7"/>
        </w:numPr>
        <w:kinsoku/>
        <w:wordWrap/>
        <w:overflowPunct/>
        <w:topLinePunct w:val="0"/>
        <w:autoSpaceDE/>
        <w:autoSpaceDN/>
        <w:bidi w:val="0"/>
        <w:adjustRightInd/>
        <w:snapToGrid w:val="0"/>
        <w:spacing w:line="560" w:lineRule="exact"/>
        <w:ind w:firstLine="641"/>
        <w:rPr>
          <w:rFonts w:ascii="仿宋_GB2312" w:hAnsi="仿宋_GB2312" w:eastAsia="仿宋_GB2312" w:cs="仿宋_GB2312"/>
          <w:sz w:val="32"/>
          <w:szCs w:val="32"/>
          <w:highlight w:val="none"/>
        </w:rPr>
      </w:pPr>
      <w:r>
        <w:rPr>
          <w:rStyle w:val="53"/>
          <w:rFonts w:hint="eastAsia"/>
          <w:color w:val="auto"/>
          <w:kern w:val="2"/>
          <w:highlight w:val="none"/>
          <w:lang w:val="en-US" w:eastAsia="zh-CN" w:bidi="ar-SA"/>
        </w:rPr>
        <w:t>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w:t>
      </w:r>
      <w:r>
        <w:rPr>
          <w:rFonts w:hint="eastAsia" w:ascii="仿宋_GB2312" w:hAnsi="仿宋_GB2312" w:eastAsia="仿宋_GB2312" w:cs="仿宋_GB2312"/>
          <w:sz w:val="32"/>
          <w:szCs w:val="32"/>
          <w:highlight w:val="none"/>
        </w:rPr>
        <w:t xml:space="preserve"> </w:t>
      </w:r>
    </w:p>
    <w:p w14:paraId="410B5E58">
      <w:pPr>
        <w:pageBreakBefore w:val="0"/>
        <w:numPr>
          <w:ilvl w:val="0"/>
          <w:numId w:val="7"/>
        </w:numPr>
        <w:kinsoku/>
        <w:wordWrap/>
        <w:overflowPunct/>
        <w:topLinePunct w:val="0"/>
        <w:autoSpaceDE/>
        <w:autoSpaceDN/>
        <w:bidi w:val="0"/>
        <w:adjustRightInd/>
        <w:snapToGrid w:val="0"/>
        <w:spacing w:line="560" w:lineRule="exact"/>
        <w:ind w:firstLine="641"/>
        <w:rPr>
          <w:rStyle w:val="53"/>
          <w:rFonts w:hint="eastAsia"/>
          <w:color w:val="auto"/>
          <w:kern w:val="2"/>
          <w:highlight w:val="none"/>
          <w:lang w:val="en-US" w:eastAsia="zh-CN" w:bidi="ar-SA"/>
        </w:rPr>
      </w:pPr>
      <w:r>
        <w:rPr>
          <w:rStyle w:val="53"/>
          <w:rFonts w:hint="eastAsia"/>
          <w:color w:val="auto"/>
          <w:kern w:val="2"/>
          <w:highlight w:val="none"/>
          <w:lang w:val="en-US" w:eastAsia="zh-CN" w:bidi="ar-SA"/>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14:paraId="6CD3DDE0">
      <w:pPr>
        <w:pageBreakBefore w:val="0"/>
        <w:numPr>
          <w:ilvl w:val="0"/>
          <w:numId w:val="6"/>
        </w:numPr>
        <w:kinsoku/>
        <w:wordWrap/>
        <w:overflowPunct/>
        <w:topLinePunct w:val="0"/>
        <w:autoSpaceDE/>
        <w:autoSpaceDN/>
        <w:bidi w:val="0"/>
        <w:adjustRightInd/>
        <w:snapToGrid w:val="0"/>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其他需要说</w:t>
      </w:r>
      <w:bookmarkStart w:id="1" w:name="page8"/>
      <w:bookmarkEnd w:id="1"/>
      <w:r>
        <w:rPr>
          <w:rFonts w:hint="eastAsia" w:ascii="黑体" w:hAnsi="黑体" w:eastAsia="黑体"/>
          <w:sz w:val="32"/>
          <w:szCs w:val="32"/>
          <w:highlight w:val="none"/>
        </w:rPr>
        <w:t>明的问题</w:t>
      </w:r>
    </w:p>
    <w:p w14:paraId="5E7EE800">
      <w:pPr>
        <w:pStyle w:val="21"/>
        <w:pageBreakBefore w:val="0"/>
        <w:numPr>
          <w:ilvl w:val="0"/>
          <w:numId w:val="0"/>
        </w:numPr>
        <w:kinsoku/>
        <w:wordWrap/>
        <w:overflowPunct/>
        <w:topLinePunct w:val="0"/>
        <w:autoSpaceDE/>
        <w:autoSpaceDN/>
        <w:bidi w:val="0"/>
        <w:adjustRightInd/>
        <w:snapToGrid w:val="0"/>
        <w:spacing w:after="0" w:line="56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无。</w:t>
      </w:r>
    </w:p>
    <w:p w14:paraId="3B93362C">
      <w:pPr>
        <w:pageBreakBefore w:val="0"/>
        <w:kinsoku/>
        <w:wordWrap/>
        <w:overflowPunct/>
        <w:topLinePunct w:val="0"/>
        <w:autoSpaceDE/>
        <w:autoSpaceDN/>
        <w:bidi w:val="0"/>
        <w:adjustRightInd/>
        <w:snapToGrid w:val="0"/>
        <w:spacing w:line="560" w:lineRule="exact"/>
        <w:rPr>
          <w:rFonts w:hint="eastAsia" w:ascii="黑体" w:hAnsi="黑体" w:eastAsia="黑体"/>
          <w:sz w:val="32"/>
          <w:szCs w:val="32"/>
          <w:highlight w:val="none"/>
          <w:lang w:val="en-US" w:eastAsia="zh-CN"/>
        </w:rPr>
        <w:sectPr>
          <w:footerReference r:id="rId3" w:type="default"/>
          <w:pgSz w:w="11906" w:h="16838"/>
          <w:pgMar w:top="1440" w:right="1558" w:bottom="1440" w:left="1800" w:header="851" w:footer="992" w:gutter="0"/>
          <w:cols w:space="425" w:num="1"/>
          <w:docGrid w:type="lines" w:linePitch="312" w:charSpace="0"/>
        </w:sectPr>
      </w:pPr>
    </w:p>
    <w:p w14:paraId="3A30D295">
      <w:pPr>
        <w:pageBreakBefore w:val="0"/>
        <w:kinsoku/>
        <w:wordWrap/>
        <w:overflowPunct/>
        <w:topLinePunct w:val="0"/>
        <w:autoSpaceDE/>
        <w:autoSpaceDN/>
        <w:bidi w:val="0"/>
        <w:adjustRightInd/>
        <w:snapToGrid w:val="0"/>
        <w:spacing w:line="560" w:lineRule="exact"/>
        <w:rPr>
          <w:rFonts w:hint="eastAsia" w:ascii="黑体" w:hAnsi="黑体" w:eastAsia="黑体"/>
          <w:sz w:val="32"/>
          <w:szCs w:val="32"/>
          <w:highlight w:val="none"/>
          <w:lang w:val="en-US" w:eastAsia="zh-CN"/>
        </w:rPr>
      </w:pPr>
      <w:r>
        <w:rPr>
          <w:rFonts w:hint="eastAsia" w:ascii="黑体" w:hAnsi="黑体" w:eastAsia="黑体"/>
          <w:sz w:val="32"/>
          <w:szCs w:val="32"/>
          <w:highlight w:val="none"/>
          <w:lang w:val="en-US" w:eastAsia="zh-CN"/>
        </w:rPr>
        <w:t>附件</w:t>
      </w:r>
    </w:p>
    <w:tbl>
      <w:tblPr>
        <w:tblStyle w:val="22"/>
        <w:tblW w:w="8850" w:type="dxa"/>
        <w:tblInd w:w="0" w:type="dxa"/>
        <w:shd w:val="clear" w:color="auto" w:fill="auto"/>
        <w:tblLayout w:type="fixed"/>
        <w:tblCellMar>
          <w:top w:w="0" w:type="dxa"/>
          <w:left w:w="0" w:type="dxa"/>
          <w:bottom w:w="0" w:type="dxa"/>
          <w:right w:w="0" w:type="dxa"/>
        </w:tblCellMar>
      </w:tblPr>
      <w:tblGrid>
        <w:gridCol w:w="705"/>
        <w:gridCol w:w="690"/>
        <w:gridCol w:w="840"/>
        <w:gridCol w:w="840"/>
        <w:gridCol w:w="840"/>
        <w:gridCol w:w="486"/>
        <w:gridCol w:w="969"/>
        <w:gridCol w:w="840"/>
        <w:gridCol w:w="840"/>
        <w:gridCol w:w="166"/>
        <w:gridCol w:w="1634"/>
      </w:tblGrid>
      <w:tr w14:paraId="011317E0">
        <w:tblPrEx>
          <w:tblCellMar>
            <w:top w:w="0" w:type="dxa"/>
            <w:left w:w="0" w:type="dxa"/>
            <w:bottom w:w="0" w:type="dxa"/>
            <w:right w:w="0" w:type="dxa"/>
          </w:tblCellMar>
        </w:tblPrEx>
        <w:trPr>
          <w:trHeight w:val="409" w:hRule="atLeast"/>
        </w:trPr>
        <w:tc>
          <w:tcPr>
            <w:tcW w:w="8850" w:type="dxa"/>
            <w:gridSpan w:val="11"/>
            <w:tcBorders>
              <w:top w:val="nil"/>
              <w:left w:val="nil"/>
              <w:bottom w:val="nil"/>
              <w:right w:val="nil"/>
            </w:tcBorders>
            <w:shd w:val="clear" w:color="auto" w:fill="auto"/>
            <w:tcMar>
              <w:top w:w="15" w:type="dxa"/>
              <w:left w:w="15" w:type="dxa"/>
              <w:right w:w="15" w:type="dxa"/>
            </w:tcMar>
            <w:vAlign w:val="center"/>
          </w:tcPr>
          <w:p w14:paraId="6DCBE5BD">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b/>
                <w:i w:val="0"/>
                <w:color w:val="000000"/>
                <w:sz w:val="32"/>
                <w:szCs w:val="32"/>
                <w:highlight w:val="none"/>
                <w:u w:val="none"/>
              </w:rPr>
            </w:pPr>
            <w:r>
              <w:rPr>
                <w:rFonts w:hint="eastAsia" w:ascii="方正小标宋_GBK" w:hAnsi="方正小标宋_GBK" w:eastAsia="方正小标宋_GBK" w:cs="方正小标宋_GBK"/>
                <w:b w:val="0"/>
                <w:bCs/>
                <w:i w:val="0"/>
                <w:color w:val="000000"/>
                <w:kern w:val="0"/>
                <w:sz w:val="44"/>
                <w:szCs w:val="44"/>
                <w:highlight w:val="none"/>
                <w:u w:val="none"/>
                <w:lang w:val="en-US" w:eastAsia="zh-CN" w:bidi="ar"/>
              </w:rPr>
              <w:t>项目支出绩效自评表</w:t>
            </w:r>
          </w:p>
        </w:tc>
      </w:tr>
      <w:tr w14:paraId="390A9CD4">
        <w:tblPrEx>
          <w:tblCellMar>
            <w:top w:w="0" w:type="dxa"/>
            <w:left w:w="0" w:type="dxa"/>
            <w:bottom w:w="0" w:type="dxa"/>
            <w:right w:w="0" w:type="dxa"/>
          </w:tblCellMar>
        </w:tblPrEx>
        <w:trPr>
          <w:trHeight w:val="409" w:hRule="atLeast"/>
        </w:trPr>
        <w:tc>
          <w:tcPr>
            <w:tcW w:w="8850" w:type="dxa"/>
            <w:gridSpan w:val="11"/>
            <w:tcBorders>
              <w:top w:val="nil"/>
              <w:left w:val="nil"/>
              <w:bottom w:val="nil"/>
              <w:right w:val="nil"/>
            </w:tcBorders>
            <w:shd w:val="clear" w:color="auto" w:fill="auto"/>
            <w:tcMar>
              <w:top w:w="15" w:type="dxa"/>
              <w:left w:w="15" w:type="dxa"/>
              <w:right w:w="15" w:type="dxa"/>
            </w:tcMar>
            <w:vAlign w:val="center"/>
          </w:tcPr>
          <w:p w14:paraId="429EC81F">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32"/>
                <w:szCs w:val="32"/>
                <w:highlight w:val="none"/>
                <w:u w:val="none"/>
              </w:rPr>
            </w:pPr>
            <w:r>
              <w:rPr>
                <w:rFonts w:hint="eastAsia" w:ascii="宋体" w:hAnsi="宋体" w:eastAsia="宋体" w:cs="宋体"/>
                <w:i w:val="0"/>
                <w:color w:val="000000"/>
                <w:kern w:val="0"/>
                <w:sz w:val="32"/>
                <w:szCs w:val="32"/>
                <w:highlight w:val="none"/>
                <w:u w:val="none"/>
                <w:lang w:val="en-US" w:eastAsia="zh-CN" w:bidi="ar"/>
              </w:rPr>
              <w:t>（   2020 年度）</w:t>
            </w:r>
          </w:p>
        </w:tc>
      </w:tr>
      <w:tr w14:paraId="5E28540F">
        <w:tblPrEx>
          <w:shd w:val="clear" w:color="auto" w:fill="auto"/>
          <w:tblCellMar>
            <w:top w:w="0" w:type="dxa"/>
            <w:left w:w="0" w:type="dxa"/>
            <w:bottom w:w="0" w:type="dxa"/>
            <w:right w:w="0" w:type="dxa"/>
          </w:tblCellMar>
        </w:tblPrEx>
        <w:trPr>
          <w:trHeight w:val="270" w:hRule="atLeast"/>
        </w:trPr>
        <w:tc>
          <w:tcPr>
            <w:tcW w:w="8850" w:type="dxa"/>
            <w:gridSpan w:val="11"/>
            <w:tcBorders>
              <w:top w:val="nil"/>
              <w:left w:val="nil"/>
              <w:bottom w:val="nil"/>
              <w:right w:val="nil"/>
            </w:tcBorders>
            <w:shd w:val="clear" w:color="auto" w:fill="auto"/>
            <w:tcMar>
              <w:top w:w="15" w:type="dxa"/>
              <w:left w:w="15" w:type="dxa"/>
              <w:right w:w="15" w:type="dxa"/>
            </w:tcMar>
            <w:vAlign w:val="center"/>
          </w:tcPr>
          <w:p w14:paraId="5E057B36">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22"/>
                <w:szCs w:val="22"/>
                <w:highlight w:val="none"/>
                <w:u w:val="none"/>
              </w:rPr>
            </w:pPr>
          </w:p>
        </w:tc>
      </w:tr>
      <w:tr w14:paraId="147BEBF4">
        <w:tblPrEx>
          <w:shd w:val="clear" w:color="auto" w:fill="auto"/>
          <w:tblCellMar>
            <w:top w:w="0" w:type="dxa"/>
            <w:left w:w="0" w:type="dxa"/>
            <w:bottom w:w="0" w:type="dxa"/>
            <w:right w:w="0" w:type="dxa"/>
          </w:tblCellMar>
        </w:tblPrEx>
        <w:trPr>
          <w:trHeight w:val="270" w:hRule="atLeast"/>
        </w:trPr>
        <w:tc>
          <w:tcPr>
            <w:tcW w:w="1395"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4011A43">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455" w:type="dxa"/>
            <w:gridSpan w:val="9"/>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892FEF">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精神病院建设项目</w:t>
            </w:r>
          </w:p>
        </w:tc>
      </w:tr>
      <w:tr w14:paraId="0006E5B6">
        <w:tblPrEx>
          <w:tblCellMar>
            <w:top w:w="0" w:type="dxa"/>
            <w:left w:w="0" w:type="dxa"/>
            <w:bottom w:w="0" w:type="dxa"/>
            <w:right w:w="0" w:type="dxa"/>
          </w:tblCellMar>
        </w:tblPrEx>
        <w:trPr>
          <w:trHeight w:val="270" w:hRule="atLeast"/>
        </w:trPr>
        <w:tc>
          <w:tcPr>
            <w:tcW w:w="1395"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217C36F">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3975"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1E22EF">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EBC801">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w:t>
            </w:r>
          </w:p>
        </w:tc>
        <w:tc>
          <w:tcPr>
            <w:tcW w:w="180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C343B7">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塔城地区民政局</w:t>
            </w:r>
          </w:p>
        </w:tc>
      </w:tr>
      <w:tr w14:paraId="6B36E767">
        <w:tblPrEx>
          <w:shd w:val="clear" w:color="auto" w:fill="auto"/>
          <w:tblCellMar>
            <w:top w:w="0" w:type="dxa"/>
            <w:left w:w="0" w:type="dxa"/>
            <w:bottom w:w="0" w:type="dxa"/>
            <w:right w:w="0" w:type="dxa"/>
          </w:tblCellMar>
        </w:tblPrEx>
        <w:trPr>
          <w:trHeight w:val="392" w:hRule="atLeast"/>
        </w:trPr>
        <w:tc>
          <w:tcPr>
            <w:tcW w:w="1395" w:type="dxa"/>
            <w:gridSpan w:val="2"/>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6F73B9D9">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项目资金</w:t>
            </w:r>
          </w:p>
          <w:p w14:paraId="6C70683F">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（万元）</w:t>
            </w: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14:paraId="24DC455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E21406">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年初预算数</w:t>
            </w:r>
          </w:p>
        </w:tc>
        <w:tc>
          <w:tcPr>
            <w:tcW w:w="1455"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F6F725">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全年预算数</w:t>
            </w: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4F7BA4">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全年执行数</w:t>
            </w:r>
          </w:p>
        </w:tc>
        <w:tc>
          <w:tcPr>
            <w:tcW w:w="180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593E37">
            <w:pPr>
              <w:pageBreakBefore w:val="0"/>
              <w:kinsoku/>
              <w:wordWrap/>
              <w:overflowPunct/>
              <w:topLinePunct w:val="0"/>
              <w:autoSpaceDE/>
              <w:autoSpaceDN/>
              <w:bidi w:val="0"/>
              <w:adjustRightInd/>
              <w:snapToGrid w:val="0"/>
              <w:spacing w:line="560" w:lineRule="exact"/>
              <w:jc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资金执行率</w:t>
            </w:r>
          </w:p>
        </w:tc>
      </w:tr>
      <w:tr w14:paraId="4E27DB02">
        <w:tblPrEx>
          <w:shd w:val="clear" w:color="auto" w:fill="auto"/>
          <w:tblCellMar>
            <w:top w:w="0" w:type="dxa"/>
            <w:left w:w="0" w:type="dxa"/>
            <w:bottom w:w="0" w:type="dxa"/>
            <w:right w:w="0" w:type="dxa"/>
          </w:tblCellMar>
        </w:tblPrEx>
        <w:trPr>
          <w:trHeight w:val="433" w:hRule="atLeast"/>
        </w:trPr>
        <w:tc>
          <w:tcPr>
            <w:tcW w:w="1395" w:type="dxa"/>
            <w:gridSpan w:val="2"/>
            <w:vMerge w:val="continue"/>
            <w:tcBorders>
              <w:left w:val="single" w:color="000000" w:sz="4" w:space="0"/>
              <w:right w:val="single" w:color="auto" w:sz="4" w:space="0"/>
            </w:tcBorders>
            <w:shd w:val="clear" w:color="auto" w:fill="auto"/>
            <w:tcMar>
              <w:top w:w="15" w:type="dxa"/>
              <w:left w:w="15" w:type="dxa"/>
              <w:right w:w="15" w:type="dxa"/>
            </w:tcMar>
            <w:vAlign w:val="center"/>
          </w:tcPr>
          <w:p w14:paraId="6AB9CF21">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DA4975">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年度资金总额</w:t>
            </w:r>
          </w:p>
        </w:tc>
        <w:tc>
          <w:tcPr>
            <w:tcW w:w="8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05309E">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184.27</w:t>
            </w:r>
          </w:p>
        </w:tc>
        <w:tc>
          <w:tcPr>
            <w:tcW w:w="1455"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B9FA52">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184.27</w:t>
            </w: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B01FE6">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155.86</w:t>
            </w:r>
          </w:p>
        </w:tc>
        <w:tc>
          <w:tcPr>
            <w:tcW w:w="180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A51E74">
            <w:pPr>
              <w:pageBreakBefore w:val="0"/>
              <w:kinsoku/>
              <w:wordWrap/>
              <w:overflowPunct/>
              <w:topLinePunct w:val="0"/>
              <w:autoSpaceDE/>
              <w:autoSpaceDN/>
              <w:bidi w:val="0"/>
              <w:adjustRightInd/>
              <w:snapToGrid w:val="0"/>
              <w:spacing w:line="560" w:lineRule="exact"/>
              <w:jc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84.58%</w:t>
            </w:r>
          </w:p>
        </w:tc>
      </w:tr>
      <w:tr w14:paraId="34E84A75">
        <w:tblPrEx>
          <w:shd w:val="clear" w:color="auto" w:fill="auto"/>
          <w:tblCellMar>
            <w:top w:w="0" w:type="dxa"/>
            <w:left w:w="0" w:type="dxa"/>
            <w:bottom w:w="0" w:type="dxa"/>
            <w:right w:w="0" w:type="dxa"/>
          </w:tblCellMar>
        </w:tblPrEx>
        <w:trPr>
          <w:trHeight w:val="433" w:hRule="atLeast"/>
        </w:trPr>
        <w:tc>
          <w:tcPr>
            <w:tcW w:w="1395" w:type="dxa"/>
            <w:gridSpan w:val="2"/>
            <w:vMerge w:val="continue"/>
            <w:tcBorders>
              <w:left w:val="single" w:color="000000" w:sz="4" w:space="0"/>
              <w:right w:val="single" w:color="auto" w:sz="4" w:space="0"/>
            </w:tcBorders>
            <w:shd w:val="clear" w:color="auto" w:fill="auto"/>
            <w:tcMar>
              <w:top w:w="15" w:type="dxa"/>
              <w:left w:w="15" w:type="dxa"/>
              <w:right w:w="15" w:type="dxa"/>
            </w:tcMar>
            <w:vAlign w:val="center"/>
          </w:tcPr>
          <w:p w14:paraId="4E3375A8">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22"/>
                <w:szCs w:val="22"/>
                <w:highlight w:val="none"/>
                <w:u w:val="none"/>
              </w:rPr>
            </w:pP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E6892">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其中：当年财政拨款</w:t>
            </w:r>
          </w:p>
        </w:tc>
        <w:tc>
          <w:tcPr>
            <w:tcW w:w="8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142D6">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184.27</w:t>
            </w:r>
          </w:p>
        </w:tc>
        <w:tc>
          <w:tcPr>
            <w:tcW w:w="1455"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024139">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184.27</w:t>
            </w: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99542D">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155.86</w:t>
            </w:r>
          </w:p>
        </w:tc>
        <w:tc>
          <w:tcPr>
            <w:tcW w:w="180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2B98BD">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6CAAB932">
        <w:tblPrEx>
          <w:tblCellMar>
            <w:top w:w="0" w:type="dxa"/>
            <w:left w:w="0" w:type="dxa"/>
            <w:bottom w:w="0" w:type="dxa"/>
            <w:right w:w="0" w:type="dxa"/>
          </w:tblCellMar>
        </w:tblPrEx>
        <w:trPr>
          <w:trHeight w:val="433" w:hRule="atLeast"/>
        </w:trPr>
        <w:tc>
          <w:tcPr>
            <w:tcW w:w="1395" w:type="dxa"/>
            <w:gridSpan w:val="2"/>
            <w:vMerge w:val="continue"/>
            <w:tcBorders>
              <w:left w:val="single" w:color="000000" w:sz="4" w:space="0"/>
              <w:right w:val="single" w:color="auto" w:sz="4" w:space="0"/>
            </w:tcBorders>
            <w:shd w:val="clear" w:color="auto" w:fill="auto"/>
            <w:tcMar>
              <w:top w:w="15" w:type="dxa"/>
              <w:left w:w="15" w:type="dxa"/>
              <w:right w:w="15" w:type="dxa"/>
            </w:tcMar>
            <w:vAlign w:val="center"/>
          </w:tcPr>
          <w:p w14:paraId="3B319FC8">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22"/>
                <w:szCs w:val="22"/>
                <w:highlight w:val="none"/>
                <w:u w:val="none"/>
              </w:rPr>
            </w:pP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DEAC5B">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上年结转资金</w:t>
            </w:r>
          </w:p>
        </w:tc>
        <w:tc>
          <w:tcPr>
            <w:tcW w:w="8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2B0B1E">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1455"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FD52BA">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A4AD07">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A0C146">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5C4AD445">
        <w:tblPrEx>
          <w:tblCellMar>
            <w:top w:w="0" w:type="dxa"/>
            <w:left w:w="0" w:type="dxa"/>
            <w:bottom w:w="0" w:type="dxa"/>
            <w:right w:w="0" w:type="dxa"/>
          </w:tblCellMar>
        </w:tblPrEx>
        <w:trPr>
          <w:trHeight w:val="270" w:hRule="atLeast"/>
        </w:trPr>
        <w:tc>
          <w:tcPr>
            <w:tcW w:w="1395" w:type="dxa"/>
            <w:gridSpan w:val="2"/>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1FA4B7A">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22"/>
                <w:szCs w:val="22"/>
                <w:highlight w:val="none"/>
                <w:u w:val="none"/>
              </w:rPr>
            </w:pP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E742B5">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其他资金</w:t>
            </w:r>
          </w:p>
        </w:tc>
        <w:tc>
          <w:tcPr>
            <w:tcW w:w="8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A23A00">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455"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CDAFAF">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5A59A1">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top"/>
          </w:tcPr>
          <w:p w14:paraId="27A942E7">
            <w:pPr>
              <w:pageBreakBefore w:val="0"/>
              <w:kinsoku/>
              <w:wordWrap/>
              <w:overflowPunct/>
              <w:topLinePunct w:val="0"/>
              <w:autoSpaceDE/>
              <w:autoSpaceDN/>
              <w:bidi w:val="0"/>
              <w:adjustRightInd/>
              <w:snapToGrid w:val="0"/>
              <w:spacing w:line="560" w:lineRule="exact"/>
              <w:jc w:val="left"/>
              <w:rPr>
                <w:rFonts w:hint="eastAsia" w:ascii="宋体" w:hAnsi="宋体" w:eastAsia="宋体" w:cs="宋体"/>
                <w:i w:val="0"/>
                <w:color w:val="000000"/>
                <w:sz w:val="18"/>
                <w:szCs w:val="18"/>
                <w:highlight w:val="none"/>
                <w:u w:val="none"/>
              </w:rPr>
            </w:pPr>
          </w:p>
        </w:tc>
      </w:tr>
      <w:tr w14:paraId="6F603E81">
        <w:tblPrEx>
          <w:tblCellMar>
            <w:top w:w="0" w:type="dxa"/>
            <w:left w:w="0" w:type="dxa"/>
            <w:bottom w:w="0" w:type="dxa"/>
            <w:right w:w="0" w:type="dxa"/>
          </w:tblCellMar>
        </w:tblPrEx>
        <w:trPr>
          <w:trHeight w:val="433" w:hRule="atLeast"/>
        </w:trPr>
        <w:tc>
          <w:tcPr>
            <w:tcW w:w="705" w:type="dxa"/>
            <w:vMerge w:val="restar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505DFE6">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年度总体目标</w:t>
            </w:r>
          </w:p>
        </w:tc>
        <w:tc>
          <w:tcPr>
            <w:tcW w:w="4665" w:type="dxa"/>
            <w:gridSpan w:val="6"/>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76A3F6">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预期目标</w:t>
            </w:r>
          </w:p>
        </w:tc>
        <w:tc>
          <w:tcPr>
            <w:tcW w:w="3480"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FAA93A">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实际完成情况</w:t>
            </w:r>
          </w:p>
        </w:tc>
      </w:tr>
      <w:tr w14:paraId="73F44AB2">
        <w:tblPrEx>
          <w:tblCellMar>
            <w:top w:w="0" w:type="dxa"/>
            <w:left w:w="0" w:type="dxa"/>
            <w:bottom w:w="0" w:type="dxa"/>
            <w:right w:w="0" w:type="dxa"/>
          </w:tblCellMar>
        </w:tblPrEx>
        <w:trPr>
          <w:trHeight w:val="919" w:hRule="atLeast"/>
        </w:trPr>
        <w:tc>
          <w:tcPr>
            <w:tcW w:w="705"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40F1B58">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4665" w:type="dxa"/>
            <w:gridSpan w:val="6"/>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89457">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为加强塔城地区精神病人福利服务设施建设，提高精神障碍患者服务管理水平，新建塔城地区精神病人福利机构，位于塔城市建新街与泰丰路东南侧（地区福利园区内），建筑面积8915平方米，建筑层数为地上六层，主体已完工，投入使用。</w:t>
            </w:r>
          </w:p>
        </w:tc>
        <w:tc>
          <w:tcPr>
            <w:tcW w:w="3480"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B926F8">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为加强塔城地区精神病人福利服务设施建设，提高精神障碍患者服务管理水平，新建塔城地区精神病人福利机构，位于塔城市建新街与泰丰路东南侧（地区福利园区内），建筑面积8915平方米，建筑层数为地上六层，主体已完工，投入使用。</w:t>
            </w:r>
          </w:p>
        </w:tc>
      </w:tr>
      <w:tr w14:paraId="31F28E52">
        <w:tblPrEx>
          <w:tblCellMar>
            <w:top w:w="0" w:type="dxa"/>
            <w:left w:w="0" w:type="dxa"/>
            <w:bottom w:w="0" w:type="dxa"/>
            <w:right w:w="0" w:type="dxa"/>
          </w:tblCellMar>
        </w:tblPrEx>
        <w:trPr>
          <w:trHeight w:val="1674"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5B109">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246A535">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8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7B82B5">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2166"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7DB653">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9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35E8DD">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年度指标值</w:t>
            </w:r>
          </w:p>
        </w:tc>
        <w:tc>
          <w:tcPr>
            <w:tcW w:w="1846"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F591BB">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实际完成值</w:t>
            </w:r>
          </w:p>
        </w:tc>
        <w:tc>
          <w:tcPr>
            <w:tcW w:w="16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B48A4A">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偏差原因分析及改进措施</w:t>
            </w:r>
          </w:p>
        </w:tc>
      </w:tr>
      <w:tr w14:paraId="773B1663">
        <w:tblPrEx>
          <w:shd w:val="clear" w:color="auto" w:fill="auto"/>
          <w:tblCellMar>
            <w:top w:w="0" w:type="dxa"/>
            <w:left w:w="0" w:type="dxa"/>
            <w:bottom w:w="0" w:type="dxa"/>
            <w:right w:w="0" w:type="dxa"/>
          </w:tblCellMar>
        </w:tblPrEx>
        <w:trPr>
          <w:trHeight w:val="1165" w:hRule="atLeast"/>
        </w:trPr>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B855A">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年度绩效指标完成情况</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56688">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840" w:type="dxa"/>
            <w:vMerge w:val="restar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1C397">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2166"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C4A52">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精神卫生机构新床位数增</w:t>
            </w:r>
          </w:p>
        </w:tc>
        <w:tc>
          <w:tcPr>
            <w:tcW w:w="96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9089D">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=300张</w:t>
            </w:r>
          </w:p>
        </w:tc>
        <w:tc>
          <w:tcPr>
            <w:tcW w:w="1846" w:type="dxa"/>
            <w:gridSpan w:val="3"/>
            <w:tcBorders>
              <w:top w:val="single" w:color="auto" w:sz="4" w:space="0"/>
              <w:left w:val="single" w:color="000000" w:sz="4" w:space="0"/>
              <w:bottom w:val="single" w:color="000000" w:sz="4" w:space="0"/>
              <w:right w:val="nil"/>
            </w:tcBorders>
            <w:shd w:val="clear" w:color="auto" w:fill="auto"/>
            <w:tcMar>
              <w:top w:w="15" w:type="dxa"/>
              <w:left w:w="15" w:type="dxa"/>
              <w:right w:w="15" w:type="dxa"/>
            </w:tcMar>
            <w:vAlign w:val="center"/>
          </w:tcPr>
          <w:p w14:paraId="13EB7F3B">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=300张</w:t>
            </w:r>
          </w:p>
        </w:tc>
        <w:tc>
          <w:tcPr>
            <w:tcW w:w="163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2329B">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6CDEE9FE">
        <w:tblPrEx>
          <w:shd w:val="clear" w:color="auto" w:fill="auto"/>
          <w:tblCellMar>
            <w:top w:w="0" w:type="dxa"/>
            <w:left w:w="0" w:type="dxa"/>
            <w:bottom w:w="0" w:type="dxa"/>
            <w:right w:w="0" w:type="dxa"/>
          </w:tblCellMar>
        </w:tblPrEx>
        <w:trPr>
          <w:trHeight w:val="1084"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B4508">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E54BB">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D6A37">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CF170">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新建面积</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E62C1">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=8915平方米</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1F1F184F">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=8915平方米</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2392B">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5C8AA593">
        <w:tblPrEx>
          <w:shd w:val="clear" w:color="auto" w:fill="auto"/>
          <w:tblCellMar>
            <w:top w:w="0" w:type="dxa"/>
            <w:left w:w="0" w:type="dxa"/>
            <w:bottom w:w="0" w:type="dxa"/>
            <w:right w:w="0" w:type="dxa"/>
          </w:tblCellMar>
        </w:tblPrEx>
        <w:trPr>
          <w:trHeight w:val="962"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37EBA">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CACFE">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C2C39">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质量指标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F8C17">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工程验收合格率</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8F3C4">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71C75CAD">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CCC0D">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6DE96605">
        <w:tblPrEx>
          <w:shd w:val="clear" w:color="auto" w:fill="auto"/>
          <w:tblCellMar>
            <w:top w:w="0" w:type="dxa"/>
            <w:left w:w="0" w:type="dxa"/>
            <w:bottom w:w="0" w:type="dxa"/>
            <w:right w:w="0" w:type="dxa"/>
          </w:tblCellMar>
        </w:tblPrEx>
        <w:trPr>
          <w:trHeight w:val="962"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5D11B">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52CA4">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4797A">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23705">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工程完工率</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18AD4">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2137D585">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CCE74">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3763BC40">
        <w:tblPrEx>
          <w:tblCellMar>
            <w:top w:w="0" w:type="dxa"/>
            <w:left w:w="0" w:type="dxa"/>
            <w:bottom w:w="0" w:type="dxa"/>
            <w:right w:w="0" w:type="dxa"/>
          </w:tblCellMar>
        </w:tblPrEx>
        <w:trPr>
          <w:trHeight w:val="962"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22AE6">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C5224">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544D7">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时效指标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AB460">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工程按期完成率</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436A3">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1265E0C0">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115E8">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75543C27">
        <w:tblPrEx>
          <w:tblCellMar>
            <w:top w:w="0" w:type="dxa"/>
            <w:left w:w="0" w:type="dxa"/>
            <w:bottom w:w="0" w:type="dxa"/>
            <w:right w:w="0" w:type="dxa"/>
          </w:tblCellMar>
        </w:tblPrEx>
        <w:trPr>
          <w:trHeight w:val="962"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08E7C">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65B93">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A8E18">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491CE">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付款及时率</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DB750">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1E3AF294">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8BE08">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0E9E310E">
        <w:tblPrEx>
          <w:shd w:val="clear" w:color="auto" w:fill="auto"/>
          <w:tblCellMar>
            <w:top w:w="0" w:type="dxa"/>
            <w:left w:w="0" w:type="dxa"/>
            <w:bottom w:w="0" w:type="dxa"/>
            <w:right w:w="0" w:type="dxa"/>
          </w:tblCellMar>
        </w:tblPrEx>
        <w:trPr>
          <w:trHeight w:val="1003"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48FAA">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929AC">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26091">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成本指标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0DEF7">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工程单位建设成本</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D4263">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=184万元</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20FD84C2">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w:t>
            </w:r>
            <w:r>
              <w:rPr>
                <w:rFonts w:hint="eastAsia" w:ascii="宋体" w:hAnsi="宋体" w:cs="宋体"/>
                <w:i w:val="0"/>
                <w:color w:val="000000"/>
                <w:kern w:val="0"/>
                <w:sz w:val="18"/>
                <w:szCs w:val="18"/>
                <w:highlight w:val="none"/>
                <w:u w:val="none"/>
                <w:lang w:val="en-US" w:eastAsia="zh-CN" w:bidi="ar"/>
              </w:rPr>
              <w:t>55</w:t>
            </w:r>
            <w:r>
              <w:rPr>
                <w:rFonts w:hint="eastAsia" w:ascii="宋体" w:hAnsi="宋体" w:eastAsia="宋体" w:cs="宋体"/>
                <w:i w:val="0"/>
                <w:color w:val="000000"/>
                <w:kern w:val="0"/>
                <w:sz w:val="18"/>
                <w:szCs w:val="18"/>
                <w:highlight w:val="none"/>
                <w:u w:val="none"/>
                <w:lang w:val="en-US" w:eastAsia="zh-CN" w:bidi="ar"/>
              </w:rPr>
              <w:t>万元</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7AEAF">
            <w:pPr>
              <w:pageBreakBefore w:val="0"/>
              <w:kinsoku/>
              <w:wordWrap/>
              <w:overflowPunct/>
              <w:topLinePunct w:val="0"/>
              <w:autoSpaceDE/>
              <w:autoSpaceDN/>
              <w:bidi w:val="0"/>
              <w:adjustRightInd/>
              <w:snapToGrid w:val="0"/>
              <w:spacing w:line="560" w:lineRule="exact"/>
              <w:jc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w:t>
            </w:r>
            <w:r>
              <w:rPr>
                <w:rFonts w:hint="eastAsia" w:ascii="宋体" w:hAnsi="宋体" w:cs="宋体"/>
                <w:i w:val="0"/>
                <w:color w:val="000000"/>
                <w:sz w:val="18"/>
                <w:szCs w:val="18"/>
                <w:highlight w:val="none"/>
                <w:u w:val="none"/>
                <w:lang w:eastAsia="zh-CN"/>
              </w:rPr>
              <w:t>精神病院</w:t>
            </w:r>
            <w:r>
              <w:rPr>
                <w:rFonts w:hint="eastAsia" w:ascii="宋体" w:hAnsi="宋体" w:cs="宋体"/>
                <w:i w:val="0"/>
                <w:color w:val="000000"/>
                <w:sz w:val="18"/>
                <w:szCs w:val="18"/>
                <w:highlight w:val="none"/>
                <w:u w:val="none"/>
                <w:lang w:val="en-US" w:eastAsia="zh-CN"/>
              </w:rPr>
              <w:t>管</w:t>
            </w:r>
            <w:r>
              <w:rPr>
                <w:rFonts w:hint="eastAsia" w:ascii="宋体" w:hAnsi="宋体" w:cs="宋体"/>
                <w:i w:val="0"/>
                <w:color w:val="000000"/>
                <w:sz w:val="18"/>
                <w:szCs w:val="18"/>
                <w:highlight w:val="none"/>
                <w:u w:val="none"/>
                <w:lang w:eastAsia="zh-CN"/>
              </w:rPr>
              <w:t>网工程、</w:t>
            </w:r>
            <w:r>
              <w:rPr>
                <w:rFonts w:hint="eastAsia" w:ascii="宋体" w:hAnsi="宋体" w:cs="宋体"/>
                <w:i w:val="0"/>
                <w:color w:val="000000"/>
                <w:sz w:val="18"/>
                <w:szCs w:val="18"/>
                <w:highlight w:val="none"/>
                <w:u w:val="none"/>
                <w:lang w:val="en-US" w:eastAsia="zh-CN"/>
              </w:rPr>
              <w:t>换热站机组控制系统及安装工程待定案价后支付。2精神病院污水处理工程及一体化污染处理设备质量保质期到期后支付20165元。3、污水处理电缆工程，质量保质期到期3800元。</w:t>
            </w:r>
          </w:p>
        </w:tc>
      </w:tr>
      <w:tr w14:paraId="75545C08">
        <w:tblPrEx>
          <w:shd w:val="clear" w:color="auto" w:fill="auto"/>
          <w:tblCellMar>
            <w:top w:w="0" w:type="dxa"/>
            <w:left w:w="0" w:type="dxa"/>
            <w:bottom w:w="0" w:type="dxa"/>
            <w:right w:w="0" w:type="dxa"/>
          </w:tblCellMar>
        </w:tblPrEx>
        <w:trPr>
          <w:trHeight w:val="1003"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A1A7F">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7FB70">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BDA1B">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社会效益指标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24055">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提升精神患者的生活质量</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71353">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229A0621">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1A2D6">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45BE346E">
        <w:tblPrEx>
          <w:shd w:val="clear" w:color="auto" w:fill="auto"/>
          <w:tblCellMar>
            <w:top w:w="0" w:type="dxa"/>
            <w:left w:w="0" w:type="dxa"/>
            <w:bottom w:w="0" w:type="dxa"/>
            <w:right w:w="0" w:type="dxa"/>
          </w:tblCellMar>
        </w:tblPrEx>
        <w:trPr>
          <w:trHeight w:val="84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8927A">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8407D">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56FD8">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AC1F3">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提升救助能力</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9E5DE">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5936F071">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7800E">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0F82161C">
        <w:tblPrEx>
          <w:shd w:val="clear" w:color="auto" w:fill="auto"/>
          <w:tblCellMar>
            <w:top w:w="0" w:type="dxa"/>
            <w:left w:w="0" w:type="dxa"/>
            <w:bottom w:w="0" w:type="dxa"/>
            <w:right w:w="0" w:type="dxa"/>
          </w:tblCellMar>
        </w:tblPrEx>
        <w:trPr>
          <w:trHeight w:val="1043"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2FC4A">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E0E50">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D0770">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可持续影响指标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0E1AD">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建筑使用年限</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8C65E">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=50年</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16187ED0">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=50年</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43528">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1AE8264E">
        <w:tblPrEx>
          <w:tblCellMar>
            <w:top w:w="0" w:type="dxa"/>
            <w:left w:w="0" w:type="dxa"/>
            <w:bottom w:w="0" w:type="dxa"/>
            <w:right w:w="0" w:type="dxa"/>
          </w:tblCellMar>
        </w:tblPrEx>
        <w:trPr>
          <w:trHeight w:val="1124"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31C29">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16DCC">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DFD99">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服务对象满意度指标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6E7C5">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收益群众满意率</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7A4D1">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846"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2F2D4FC0">
            <w:pPr>
              <w:keepNext w:val="0"/>
              <w:keepLines w:val="0"/>
              <w:pageBreakBefore w:val="0"/>
              <w:widowControl/>
              <w:suppressLineNumbers w:val="0"/>
              <w:kinsoku/>
              <w:wordWrap/>
              <w:overflowPunct/>
              <w:topLinePunct w:val="0"/>
              <w:autoSpaceDE/>
              <w:autoSpaceDN/>
              <w:bidi w:val="0"/>
              <w:adjustRightInd/>
              <w:snapToGrid w:val="0"/>
              <w:spacing w:line="560" w:lineRule="exact"/>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46135">
            <w:pPr>
              <w:pageBreakBefore w:val="0"/>
              <w:kinsoku/>
              <w:wordWrap/>
              <w:overflowPunct/>
              <w:topLinePunct w:val="0"/>
              <w:autoSpaceDE/>
              <w:autoSpaceDN/>
              <w:bidi w:val="0"/>
              <w:adjustRightInd/>
              <w:snapToGrid w:val="0"/>
              <w:spacing w:line="560" w:lineRule="exact"/>
              <w:jc w:val="center"/>
              <w:rPr>
                <w:rFonts w:hint="eastAsia" w:ascii="宋体" w:hAnsi="宋体" w:eastAsia="宋体" w:cs="宋体"/>
                <w:i w:val="0"/>
                <w:color w:val="000000"/>
                <w:sz w:val="18"/>
                <w:szCs w:val="18"/>
                <w:highlight w:val="none"/>
                <w:u w:val="none"/>
              </w:rPr>
            </w:pPr>
          </w:p>
        </w:tc>
      </w:tr>
      <w:tr w14:paraId="7AA9A2C0">
        <w:tblPrEx>
          <w:tblCellMar>
            <w:top w:w="0" w:type="dxa"/>
            <w:left w:w="0" w:type="dxa"/>
            <w:bottom w:w="0" w:type="dxa"/>
            <w:right w:w="0" w:type="dxa"/>
          </w:tblCellMar>
        </w:tblPrEx>
        <w:trPr>
          <w:trHeight w:val="270"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51790BE6">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34B71254">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0DCF4DF">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5AB97AF0">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4264BFF0">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47C2777D">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2F416B8E">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7A515205">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4A66EC2A">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0FA2775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7469CF9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r w14:paraId="32A9E3AF">
        <w:tblPrEx>
          <w:tblCellMar>
            <w:top w:w="0" w:type="dxa"/>
            <w:left w:w="0" w:type="dxa"/>
            <w:bottom w:w="0" w:type="dxa"/>
            <w:right w:w="0" w:type="dxa"/>
          </w:tblCellMar>
        </w:tblPrEx>
        <w:trPr>
          <w:trHeight w:val="390"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1744B160">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7C1388B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3D26469D">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4DA618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9F746E1">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11855EA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4DCB2E45">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40005D6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46980013">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13A3E995">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068F02B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r w14:paraId="08C07CC9">
        <w:tblPrEx>
          <w:shd w:val="clear" w:color="auto" w:fill="auto"/>
          <w:tblCellMar>
            <w:top w:w="0" w:type="dxa"/>
            <w:left w:w="0" w:type="dxa"/>
            <w:bottom w:w="0" w:type="dxa"/>
            <w:right w:w="0" w:type="dxa"/>
          </w:tblCellMar>
        </w:tblPrEx>
        <w:trPr>
          <w:trHeight w:val="405"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1906514D">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49EB4810">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415DB555">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00127486">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31D57AFD">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00C59444">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0ECC03D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14529B44">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D91BFF5">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52FF52C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371BDE04">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r w14:paraId="7091E87F">
        <w:tblPrEx>
          <w:shd w:val="clear" w:color="auto" w:fill="auto"/>
          <w:tblCellMar>
            <w:top w:w="0" w:type="dxa"/>
            <w:left w:w="0" w:type="dxa"/>
            <w:bottom w:w="0" w:type="dxa"/>
            <w:right w:w="0" w:type="dxa"/>
          </w:tblCellMar>
        </w:tblPrEx>
        <w:trPr>
          <w:trHeight w:val="405"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7E9C8D7A">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382AFE76">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D4514EA">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BB979F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35853567">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0E4A2904">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6E5D0527">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A64626B">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4837C68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247005C7">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607E7E46">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r w14:paraId="440AE75A">
        <w:tblPrEx>
          <w:tblCellMar>
            <w:top w:w="0" w:type="dxa"/>
            <w:left w:w="0" w:type="dxa"/>
            <w:bottom w:w="0" w:type="dxa"/>
            <w:right w:w="0" w:type="dxa"/>
          </w:tblCellMar>
        </w:tblPrEx>
        <w:trPr>
          <w:trHeight w:val="405"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3D2FFFAF">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7F7D5AFB">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FE43D33">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0FA20B7">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FE2B666">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66E1302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239EC15D">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7675AC03">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34DEEC11">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5CCE88F0">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40A1485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r w14:paraId="4B67E30B">
        <w:tblPrEx>
          <w:shd w:val="clear" w:color="auto" w:fill="auto"/>
          <w:tblCellMar>
            <w:top w:w="0" w:type="dxa"/>
            <w:left w:w="0" w:type="dxa"/>
            <w:bottom w:w="0" w:type="dxa"/>
            <w:right w:w="0" w:type="dxa"/>
          </w:tblCellMar>
        </w:tblPrEx>
        <w:trPr>
          <w:trHeight w:val="405"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07E38AC7">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76C982E6">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3923094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FD100A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A4C9102">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5D5292D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56ECFD91">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7DB6A31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84A3B4A">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3B2532F5">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6F59F9E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r w14:paraId="3768CFA5">
        <w:tblPrEx>
          <w:shd w:val="clear" w:color="auto" w:fill="auto"/>
          <w:tblCellMar>
            <w:top w:w="0" w:type="dxa"/>
            <w:left w:w="0" w:type="dxa"/>
            <w:bottom w:w="0" w:type="dxa"/>
            <w:right w:w="0" w:type="dxa"/>
          </w:tblCellMar>
        </w:tblPrEx>
        <w:trPr>
          <w:trHeight w:val="405"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76DCCD22">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36F9335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073DFB1B">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5A50926D">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96D5DD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4C4F5231">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5EF1762B">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58E531AA">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F257047">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3C0AE05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741AB17E">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r w14:paraId="18575DED">
        <w:tblPrEx>
          <w:tblCellMar>
            <w:top w:w="0" w:type="dxa"/>
            <w:left w:w="0" w:type="dxa"/>
            <w:bottom w:w="0" w:type="dxa"/>
            <w:right w:w="0" w:type="dxa"/>
          </w:tblCellMar>
        </w:tblPrEx>
        <w:trPr>
          <w:trHeight w:val="405"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5D8B9C83">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14DE1C23">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3E7DC30">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358B237F">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02087EF3">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4F16C3D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6ADDFFCB">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4ACE0B0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E95FFB7">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43B9D9F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3BF1F35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r w14:paraId="62A456A1">
        <w:tblPrEx>
          <w:shd w:val="clear" w:color="auto" w:fill="auto"/>
          <w:tblCellMar>
            <w:top w:w="0" w:type="dxa"/>
            <w:left w:w="0" w:type="dxa"/>
            <w:bottom w:w="0" w:type="dxa"/>
            <w:right w:w="0" w:type="dxa"/>
          </w:tblCellMar>
        </w:tblPrEx>
        <w:trPr>
          <w:trHeight w:val="390"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5118AE8D">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63427CBE">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1FED373">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B902CE1">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0EE76BE">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0D10A634">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22D84FD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1D80DB54">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56C93B4A">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5220CFF9">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687EB774">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r w14:paraId="4A6D7CED">
        <w:tblPrEx>
          <w:tblCellMar>
            <w:top w:w="0" w:type="dxa"/>
            <w:left w:w="0" w:type="dxa"/>
            <w:bottom w:w="0" w:type="dxa"/>
            <w:right w:w="0" w:type="dxa"/>
          </w:tblCellMar>
        </w:tblPrEx>
        <w:trPr>
          <w:trHeight w:val="390" w:hRule="atLeast"/>
        </w:trPr>
        <w:tc>
          <w:tcPr>
            <w:tcW w:w="705" w:type="dxa"/>
            <w:tcBorders>
              <w:top w:val="nil"/>
              <w:left w:val="nil"/>
              <w:bottom w:val="nil"/>
              <w:right w:val="nil"/>
            </w:tcBorders>
            <w:shd w:val="clear" w:color="auto" w:fill="auto"/>
            <w:noWrap/>
            <w:tcMar>
              <w:top w:w="15" w:type="dxa"/>
              <w:left w:w="15" w:type="dxa"/>
              <w:right w:w="15" w:type="dxa"/>
            </w:tcMar>
            <w:vAlign w:val="bottom"/>
          </w:tcPr>
          <w:p w14:paraId="0EAA59E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14:paraId="0C9C1240">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643C94CB">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16F11400">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20EFA0EB">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486" w:type="dxa"/>
            <w:tcBorders>
              <w:top w:val="nil"/>
              <w:left w:val="nil"/>
              <w:bottom w:val="nil"/>
              <w:right w:val="nil"/>
            </w:tcBorders>
            <w:shd w:val="clear" w:color="auto" w:fill="auto"/>
            <w:noWrap/>
            <w:tcMar>
              <w:top w:w="15" w:type="dxa"/>
              <w:left w:w="15" w:type="dxa"/>
              <w:right w:w="15" w:type="dxa"/>
            </w:tcMar>
            <w:vAlign w:val="bottom"/>
          </w:tcPr>
          <w:p w14:paraId="1E20E8CF">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969" w:type="dxa"/>
            <w:tcBorders>
              <w:top w:val="nil"/>
              <w:left w:val="nil"/>
              <w:bottom w:val="nil"/>
              <w:right w:val="nil"/>
            </w:tcBorders>
            <w:shd w:val="clear" w:color="auto" w:fill="auto"/>
            <w:noWrap/>
            <w:tcMar>
              <w:top w:w="15" w:type="dxa"/>
              <w:left w:w="15" w:type="dxa"/>
              <w:right w:w="15" w:type="dxa"/>
            </w:tcMar>
            <w:vAlign w:val="bottom"/>
          </w:tcPr>
          <w:p w14:paraId="14E4D99B">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5D980C51">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14:paraId="3526D961">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6" w:type="dxa"/>
            <w:tcBorders>
              <w:top w:val="nil"/>
              <w:left w:val="nil"/>
              <w:bottom w:val="nil"/>
              <w:right w:val="nil"/>
            </w:tcBorders>
            <w:shd w:val="clear" w:color="auto" w:fill="auto"/>
            <w:noWrap/>
            <w:tcMar>
              <w:top w:w="15" w:type="dxa"/>
              <w:left w:w="15" w:type="dxa"/>
              <w:right w:w="15" w:type="dxa"/>
            </w:tcMar>
            <w:vAlign w:val="bottom"/>
          </w:tcPr>
          <w:p w14:paraId="7EEC733C">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c>
          <w:tcPr>
            <w:tcW w:w="1634" w:type="dxa"/>
            <w:tcBorders>
              <w:top w:val="nil"/>
              <w:left w:val="nil"/>
              <w:bottom w:val="nil"/>
              <w:right w:val="nil"/>
            </w:tcBorders>
            <w:shd w:val="clear" w:color="auto" w:fill="auto"/>
            <w:noWrap/>
            <w:tcMar>
              <w:top w:w="15" w:type="dxa"/>
              <w:left w:w="15" w:type="dxa"/>
              <w:right w:w="15" w:type="dxa"/>
            </w:tcMar>
            <w:vAlign w:val="bottom"/>
          </w:tcPr>
          <w:p w14:paraId="5A5640B8">
            <w:pPr>
              <w:pageBreakBefore w:val="0"/>
              <w:kinsoku/>
              <w:wordWrap/>
              <w:overflowPunct/>
              <w:topLinePunct w:val="0"/>
              <w:autoSpaceDE/>
              <w:autoSpaceDN/>
              <w:bidi w:val="0"/>
              <w:adjustRightInd/>
              <w:snapToGrid w:val="0"/>
              <w:spacing w:line="560" w:lineRule="exact"/>
              <w:rPr>
                <w:rFonts w:hint="default" w:ascii="Arial" w:hAnsi="Arial" w:cs="Arial"/>
                <w:i w:val="0"/>
                <w:color w:val="000000"/>
                <w:sz w:val="20"/>
                <w:szCs w:val="20"/>
                <w:highlight w:val="none"/>
                <w:u w:val="none"/>
              </w:rPr>
            </w:pPr>
          </w:p>
        </w:tc>
      </w:tr>
    </w:tbl>
    <w:p w14:paraId="7F946028">
      <w:pPr>
        <w:pStyle w:val="2"/>
        <w:pageBreakBefore w:val="0"/>
        <w:kinsoku/>
        <w:wordWrap/>
        <w:overflowPunct/>
        <w:topLinePunct w:val="0"/>
        <w:autoSpaceDE/>
        <w:autoSpaceDN/>
        <w:bidi w:val="0"/>
        <w:adjustRightInd/>
        <w:snapToGrid w:val="0"/>
        <w:spacing w:before="0" w:after="0" w:line="560" w:lineRule="exact"/>
        <w:rPr>
          <w:rFonts w:hint="eastAsia"/>
          <w:highlight w:val="none"/>
          <w:lang w:val="en-US" w:eastAsia="zh-CN"/>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55F4909-A57C-41CE-874F-D4091614FA7B}"/>
  </w:font>
  <w:font w:name="黑体">
    <w:panose1 w:val="02010609060101010101"/>
    <w:charset w:val="86"/>
    <w:family w:val="auto"/>
    <w:pitch w:val="default"/>
    <w:sig w:usb0="800002BF" w:usb1="38CF7CFA" w:usb2="00000016" w:usb3="00000000" w:csb0="00040001" w:csb1="00000000"/>
    <w:embedRegular r:id="rId2" w:fontKey="{1837BB47-9EFE-4AA9-BDD2-A774AA42D8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A92D1DDB-62E7-47A2-8E1A-9CC79A84B4D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embedRegular r:id="rId4" w:fontKey="{75AFB9CB-7D72-4081-B076-CB3453706A59}"/>
  </w:font>
  <w:font w:name="仿宋">
    <w:panose1 w:val="02010609060101010101"/>
    <w:charset w:val="86"/>
    <w:family w:val="modern"/>
    <w:pitch w:val="default"/>
    <w:sig w:usb0="800002BF" w:usb1="38CF7CFA" w:usb2="00000016" w:usb3="00000000" w:csb0="00040001" w:csb1="00000000"/>
    <w:embedRegular r:id="rId5" w:fontKey="{3B7022D4-06DA-432D-830D-BF6B95CDA49D}"/>
  </w:font>
  <w:font w:name="楷体_GB2312">
    <w:altName w:val="楷体"/>
    <w:panose1 w:val="02010609030101010101"/>
    <w:charset w:val="86"/>
    <w:family w:val="auto"/>
    <w:pitch w:val="default"/>
    <w:sig w:usb0="00000000" w:usb1="00000000" w:usb2="00000000" w:usb3="00000000" w:csb0="00040000" w:csb1="00000000"/>
    <w:embedRegular r:id="rId6" w:fontKey="{38E8F65E-05AD-41BF-9550-BF81913985FA}"/>
  </w:font>
  <w:font w:name="方正仿宋_GBK">
    <w:panose1 w:val="02000000000000000000"/>
    <w:charset w:val="86"/>
    <w:family w:val="script"/>
    <w:pitch w:val="default"/>
    <w:sig w:usb0="A00002BF" w:usb1="38CF7CFA" w:usb2="00082016" w:usb3="00000000" w:csb0="00040001" w:csb1="00000000"/>
    <w:embedRegular r:id="rId7" w:fontKey="{17953040-FC0C-4D7C-BD6A-50011262AB9E}"/>
  </w:font>
  <w:font w:name="Tahoma">
    <w:panose1 w:val="020B0604030504040204"/>
    <w:charset w:val="00"/>
    <w:family w:val="swiss"/>
    <w:pitch w:val="default"/>
    <w:sig w:usb0="E1002EFF" w:usb1="C000605B" w:usb2="00000029" w:usb3="00000000" w:csb0="200101FF" w:csb1="20280000"/>
    <w:embedRegular r:id="rId8" w:fontKey="{E0BB6C60-9ED9-4084-B55A-5CE1F31C189C}"/>
  </w:font>
  <w:font w:name="楷体">
    <w:panose1 w:val="02010609060101010101"/>
    <w:charset w:val="86"/>
    <w:family w:val="auto"/>
    <w:pitch w:val="default"/>
    <w:sig w:usb0="800002BF" w:usb1="38CF7CFA" w:usb2="00000016" w:usb3="00000000" w:csb0="00040001" w:csb1="00000000"/>
    <w:embedRegular r:id="rId9" w:fontKey="{74E6A05A-F83E-456C-9B5B-5167E2BCB4DB}"/>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DC2DAC5">
        <w:pPr>
          <w:pStyle w:val="17"/>
          <w:jc w:val="center"/>
        </w:pPr>
        <w:r>
          <w:fldChar w:fldCharType="begin"/>
        </w:r>
        <w:r>
          <w:instrText xml:space="preserve">PAGE   \* MERGEFORMAT</w:instrText>
        </w:r>
        <w:r>
          <w:fldChar w:fldCharType="separate"/>
        </w:r>
        <w:r>
          <w:rPr>
            <w:lang w:val="zh-CN"/>
          </w:rPr>
          <w:t>2</w:t>
        </w:r>
        <w:r>
          <w:fldChar w:fldCharType="end"/>
        </w:r>
      </w:p>
    </w:sdtContent>
  </w:sdt>
  <w:p w14:paraId="22DAA5F2">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3E009216"/>
    <w:multiLevelType w:val="singleLevel"/>
    <w:tmpl w:val="3E009216"/>
    <w:lvl w:ilvl="0" w:tentative="0">
      <w:start w:val="2"/>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5"/>
  </w:num>
  <w:num w:numId="2">
    <w:abstractNumId w:val="1"/>
  </w:num>
  <w:num w:numId="3">
    <w:abstractNumId w:val="4"/>
  </w:num>
  <w:num w:numId="4">
    <w:abstractNumId w:val="6"/>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614829"/>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2703CEA"/>
    <w:rsid w:val="051905E7"/>
    <w:rsid w:val="051A56F5"/>
    <w:rsid w:val="062057E1"/>
    <w:rsid w:val="066D6EAA"/>
    <w:rsid w:val="088075D8"/>
    <w:rsid w:val="08C662D4"/>
    <w:rsid w:val="09BD4D95"/>
    <w:rsid w:val="0BCC2F73"/>
    <w:rsid w:val="0E3D010A"/>
    <w:rsid w:val="0F8D41CB"/>
    <w:rsid w:val="10FB4BDF"/>
    <w:rsid w:val="117736B0"/>
    <w:rsid w:val="119D25FC"/>
    <w:rsid w:val="11C75270"/>
    <w:rsid w:val="12414DC8"/>
    <w:rsid w:val="12637CC3"/>
    <w:rsid w:val="12BF29F0"/>
    <w:rsid w:val="12E657C5"/>
    <w:rsid w:val="134B16EA"/>
    <w:rsid w:val="167C7687"/>
    <w:rsid w:val="168B3546"/>
    <w:rsid w:val="17E71337"/>
    <w:rsid w:val="1A2374E0"/>
    <w:rsid w:val="1A78182E"/>
    <w:rsid w:val="1C2F6EA3"/>
    <w:rsid w:val="1C317CE2"/>
    <w:rsid w:val="1D176A74"/>
    <w:rsid w:val="1DD45808"/>
    <w:rsid w:val="1DED42AC"/>
    <w:rsid w:val="1F330068"/>
    <w:rsid w:val="20005763"/>
    <w:rsid w:val="208F6E93"/>
    <w:rsid w:val="20FB313D"/>
    <w:rsid w:val="21FC5FC2"/>
    <w:rsid w:val="220B4804"/>
    <w:rsid w:val="24CE5073"/>
    <w:rsid w:val="282475E3"/>
    <w:rsid w:val="288563BE"/>
    <w:rsid w:val="29365DF9"/>
    <w:rsid w:val="29943863"/>
    <w:rsid w:val="2AC62F58"/>
    <w:rsid w:val="2B0555B6"/>
    <w:rsid w:val="2B640509"/>
    <w:rsid w:val="2BC43CCC"/>
    <w:rsid w:val="2C6100C1"/>
    <w:rsid w:val="2E1B1A70"/>
    <w:rsid w:val="2E674A32"/>
    <w:rsid w:val="302238C8"/>
    <w:rsid w:val="31ED3A94"/>
    <w:rsid w:val="3264220D"/>
    <w:rsid w:val="32966BE4"/>
    <w:rsid w:val="33726CF3"/>
    <w:rsid w:val="34766217"/>
    <w:rsid w:val="365A78A6"/>
    <w:rsid w:val="38021281"/>
    <w:rsid w:val="38F32322"/>
    <w:rsid w:val="39585F33"/>
    <w:rsid w:val="3963178C"/>
    <w:rsid w:val="3BBC227C"/>
    <w:rsid w:val="3D7E6D20"/>
    <w:rsid w:val="3EFD147B"/>
    <w:rsid w:val="41CC2676"/>
    <w:rsid w:val="42E53597"/>
    <w:rsid w:val="43964B5E"/>
    <w:rsid w:val="46B21672"/>
    <w:rsid w:val="47CC165B"/>
    <w:rsid w:val="492235DF"/>
    <w:rsid w:val="4A625A60"/>
    <w:rsid w:val="4B337141"/>
    <w:rsid w:val="4C740159"/>
    <w:rsid w:val="4D243C15"/>
    <w:rsid w:val="4E3042EF"/>
    <w:rsid w:val="4F200FCB"/>
    <w:rsid w:val="4F552460"/>
    <w:rsid w:val="4FCC6863"/>
    <w:rsid w:val="500A214A"/>
    <w:rsid w:val="522D604D"/>
    <w:rsid w:val="5297585E"/>
    <w:rsid w:val="52AD7D6F"/>
    <w:rsid w:val="5549519D"/>
    <w:rsid w:val="5557596B"/>
    <w:rsid w:val="55911C33"/>
    <w:rsid w:val="55F26917"/>
    <w:rsid w:val="580C2B40"/>
    <w:rsid w:val="593036DE"/>
    <w:rsid w:val="5A10366E"/>
    <w:rsid w:val="5B596DFC"/>
    <w:rsid w:val="5CEE1EE3"/>
    <w:rsid w:val="5D0C6147"/>
    <w:rsid w:val="5DF03945"/>
    <w:rsid w:val="61DF0BE4"/>
    <w:rsid w:val="62AA07E3"/>
    <w:rsid w:val="630C3939"/>
    <w:rsid w:val="637C2815"/>
    <w:rsid w:val="63D50573"/>
    <w:rsid w:val="646709F8"/>
    <w:rsid w:val="652B09CE"/>
    <w:rsid w:val="65C87758"/>
    <w:rsid w:val="685F50F7"/>
    <w:rsid w:val="68EC30D7"/>
    <w:rsid w:val="6968154B"/>
    <w:rsid w:val="69EE5536"/>
    <w:rsid w:val="6D194A88"/>
    <w:rsid w:val="6F671DB4"/>
    <w:rsid w:val="708A1892"/>
    <w:rsid w:val="72581FC9"/>
    <w:rsid w:val="77AB2871"/>
    <w:rsid w:val="78EF1A5D"/>
    <w:rsid w:val="794F7B35"/>
    <w:rsid w:val="79B115BE"/>
    <w:rsid w:val="7A292B25"/>
    <w:rsid w:val="7A353D0B"/>
    <w:rsid w:val="7A3D618A"/>
    <w:rsid w:val="7C736446"/>
    <w:rsid w:val="7D3A5E2F"/>
    <w:rsid w:val="7DEE0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unhideWhenUsed/>
    <w:qFormat/>
    <w:uiPriority w:val="99"/>
    <w:pPr>
      <w:spacing w:after="120"/>
      <w:ind w:left="420" w:leftChars="200"/>
    </w:pPr>
  </w:style>
  <w:style w:type="paragraph" w:styleId="15">
    <w:name w:val="Plain Text"/>
    <w:basedOn w:val="1"/>
    <w:qFormat/>
    <w:uiPriority w:val="99"/>
    <w:rPr>
      <w:rFonts w:ascii="宋体" w:hAnsi="Courier New" w:eastAsia="仿宋_GB2312"/>
      <w:sz w:val="32"/>
      <w:szCs w:val="21"/>
    </w:rPr>
  </w:style>
  <w:style w:type="paragraph" w:styleId="16">
    <w:name w:val="Balloon Text"/>
    <w:basedOn w:val="1"/>
    <w:link w:val="51"/>
    <w:semiHidden/>
    <w:unhideWhenUsed/>
    <w:qFormat/>
    <w:uiPriority w:val="99"/>
    <w:rPr>
      <w:sz w:val="18"/>
      <w:szCs w:val="18"/>
    </w:rPr>
  </w:style>
  <w:style w:type="paragraph" w:styleId="17">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20">
    <w:name w:val="Body Text First Indent"/>
    <w:basedOn w:val="13"/>
    <w:qFormat/>
    <w:uiPriority w:val="0"/>
    <w:pPr>
      <w:spacing w:after="0"/>
      <w:ind w:firstLine="200" w:firstLineChars="200"/>
    </w:pPr>
  </w:style>
  <w:style w:type="paragraph" w:styleId="21">
    <w:name w:val="Body Text First Indent 2"/>
    <w:basedOn w:val="14"/>
    <w:unhideWhenUsed/>
    <w:qFormat/>
    <w:uiPriority w:val="99"/>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2"/>
    <w:qFormat/>
    <w:uiPriority w:val="10"/>
    <w:rPr>
      <w:rFonts w:asciiTheme="majorHAnsi" w:hAnsiTheme="majorHAnsi" w:eastAsiaTheme="majorEastAsia"/>
      <w:b/>
      <w:bCs/>
      <w:kern w:val="28"/>
      <w:sz w:val="32"/>
      <w:szCs w:val="32"/>
    </w:rPr>
  </w:style>
  <w:style w:type="character" w:customStyle="1" w:styleId="36">
    <w:name w:val="副标题 字符"/>
    <w:basedOn w:val="23"/>
    <w:link w:val="19"/>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3"/>
    <w:link w:val="18"/>
    <w:qFormat/>
    <w:uiPriority w:val="99"/>
    <w:rPr>
      <w:rFonts w:ascii="Calibri" w:hAnsi="Calibri" w:eastAsia="宋体"/>
      <w:kern w:val="2"/>
      <w:sz w:val="18"/>
      <w:szCs w:val="18"/>
    </w:rPr>
  </w:style>
  <w:style w:type="character" w:customStyle="1" w:styleId="50">
    <w:name w:val="页脚 字符"/>
    <w:basedOn w:val="23"/>
    <w:link w:val="17"/>
    <w:qFormat/>
    <w:uiPriority w:val="99"/>
    <w:rPr>
      <w:rFonts w:ascii="Calibri" w:hAnsi="Calibri" w:eastAsia="宋体"/>
      <w:kern w:val="2"/>
      <w:sz w:val="18"/>
      <w:szCs w:val="18"/>
    </w:rPr>
  </w:style>
  <w:style w:type="character" w:customStyle="1" w:styleId="51">
    <w:name w:val="批注框文本 字符"/>
    <w:basedOn w:val="23"/>
    <w:link w:val="16"/>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8191</Words>
  <Characters>9123</Characters>
  <Lines>63</Lines>
  <Paragraphs>17</Paragraphs>
  <TotalTime>0</TotalTime>
  <ScaleCrop>false</ScaleCrop>
  <LinksUpToDate>false</LinksUpToDate>
  <CharactersWithSpaces>9162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2019-12-31T08:02:00Z</cp:lastPrinted>
  <dcterms:modified xsi:type="dcterms:W3CDTF">2025-03-31T10:57:11Z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FDB4422559AA4B4EAE7F833430EB40CF</vt:lpwstr>
  </property>
  <property fmtid="{D5CDD505-2E9C-101B-9397-08002B2CF9AE}" pid="4" name="KSOSaveFontToCloudKey">
    <vt:lpwstr>728097718_cloud</vt:lpwstr>
  </property>
  <property fmtid="{D5CDD505-2E9C-101B-9397-08002B2CF9AE}" pid="5" name="KSOTemplateDocerSaveRecord">
    <vt:lpwstr>eyJoZGlkIjoiN2VjMGM4YTNmZTY1NDFjMWFjNmVmZmU0NDA2ZTk0ZmMiLCJ1c2VySWQiOiI4NjI1NDMxNDkifQ==</vt:lpwstr>
  </property>
</Properties>
</file>